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5D63D" w14:textId="7CFEA657" w:rsidR="00F83086" w:rsidRPr="00526C2B" w:rsidRDefault="00F83086" w:rsidP="00F83086">
      <w:pPr>
        <w:pStyle w:val="Heading1"/>
        <w:rPr>
          <w:rFonts w:ascii="Arial" w:hAnsi="Arial" w:cs="Arial"/>
          <w:b/>
          <w:i/>
          <w:iCs/>
          <w:color w:val="171717" w:themeColor="background2" w:themeShade="1A"/>
          <w:sz w:val="32"/>
          <w:szCs w:val="32"/>
        </w:rPr>
      </w:pPr>
      <w:r w:rsidRPr="00526C2B">
        <w:rPr>
          <w:rFonts w:ascii="Arial" w:hAnsi="Arial" w:cs="Arial"/>
          <w:b/>
          <w:color w:val="171717" w:themeColor="background2" w:themeShade="1A"/>
          <w:sz w:val="32"/>
          <w:szCs w:val="32"/>
        </w:rPr>
        <w:t xml:space="preserve">Fact Sheet: Records available without </w:t>
      </w:r>
      <w:r w:rsidR="00C00B33">
        <w:rPr>
          <w:rFonts w:ascii="Arial" w:hAnsi="Arial" w:cs="Arial"/>
          <w:b/>
          <w:color w:val="171717" w:themeColor="background2" w:themeShade="1A"/>
          <w:sz w:val="32"/>
          <w:szCs w:val="32"/>
        </w:rPr>
        <w:t xml:space="preserve">a </w:t>
      </w:r>
      <w:r w:rsidRPr="00526C2B">
        <w:rPr>
          <w:rFonts w:ascii="Arial" w:hAnsi="Arial" w:cs="Arial"/>
          <w:b/>
          <w:color w:val="171717" w:themeColor="background2" w:themeShade="1A"/>
          <w:sz w:val="32"/>
          <w:szCs w:val="32"/>
        </w:rPr>
        <w:t xml:space="preserve">request </w:t>
      </w:r>
      <w:r w:rsidR="00C00B33">
        <w:rPr>
          <w:rFonts w:ascii="Arial" w:hAnsi="Arial" w:cs="Arial"/>
          <w:b/>
          <w:color w:val="171717" w:themeColor="background2" w:themeShade="1A"/>
          <w:sz w:val="32"/>
          <w:szCs w:val="32"/>
        </w:rPr>
        <w:t xml:space="preserve">for access </w:t>
      </w:r>
      <w:r w:rsidRPr="00526C2B">
        <w:rPr>
          <w:rFonts w:ascii="Arial" w:hAnsi="Arial" w:cs="Arial"/>
          <w:b/>
          <w:color w:val="171717" w:themeColor="background2" w:themeShade="1A"/>
          <w:sz w:val="32"/>
          <w:szCs w:val="32"/>
        </w:rPr>
        <w:t>under the</w:t>
      </w:r>
      <w:r w:rsidRPr="00526C2B">
        <w:rPr>
          <w:rFonts w:ascii="Arial" w:hAnsi="Arial" w:cs="Arial"/>
          <w:b/>
          <w:i/>
          <w:iCs/>
          <w:color w:val="171717" w:themeColor="background2" w:themeShade="1A"/>
          <w:sz w:val="32"/>
          <w:szCs w:val="32"/>
        </w:rPr>
        <w:t xml:space="preserve"> Access to Information Act</w:t>
      </w:r>
    </w:p>
    <w:tbl>
      <w:tblPr>
        <w:tblStyle w:val="TableGrid"/>
        <w:tblW w:w="0" w:type="auto"/>
        <w:tblLook w:val="04A0" w:firstRow="1" w:lastRow="0" w:firstColumn="1" w:lastColumn="0" w:noHBand="0" w:noVBand="1"/>
      </w:tblPr>
      <w:tblGrid>
        <w:gridCol w:w="4950"/>
        <w:gridCol w:w="4955"/>
      </w:tblGrid>
      <w:tr w:rsidR="00F83086" w:rsidRPr="00405535" w14:paraId="4426944E" w14:textId="77777777" w:rsidTr="002A3011">
        <w:tc>
          <w:tcPr>
            <w:tcW w:w="4950" w:type="dxa"/>
          </w:tcPr>
          <w:p w14:paraId="4F8A214C" w14:textId="77777777" w:rsidR="00B3081D" w:rsidRDefault="00B3081D" w:rsidP="00F83086">
            <w:pPr>
              <w:rPr>
                <w:rFonts w:ascii="Arial" w:hAnsi="Arial" w:cs="Arial"/>
                <w:color w:val="171717" w:themeColor="background2" w:themeShade="1A"/>
                <w:sz w:val="20"/>
                <w:szCs w:val="20"/>
              </w:rPr>
            </w:pPr>
          </w:p>
          <w:p w14:paraId="7C8897FB" w14:textId="08C51638" w:rsidR="00CB7F23" w:rsidRDefault="00381DCE" w:rsidP="00CB7F23">
            <w:pPr>
              <w:rPr>
                <w:rFonts w:ascii="Arial" w:hAnsi="Arial" w:cs="Arial"/>
                <w:color w:val="171717" w:themeColor="background2" w:themeShade="1A"/>
                <w:sz w:val="20"/>
                <w:szCs w:val="20"/>
              </w:rPr>
            </w:pPr>
            <w:r w:rsidRPr="41057420">
              <w:rPr>
                <w:rFonts w:ascii="Arial" w:hAnsi="Arial" w:cs="Arial"/>
                <w:color w:val="171717" w:themeColor="background2" w:themeShade="1A"/>
                <w:sz w:val="20"/>
                <w:szCs w:val="20"/>
              </w:rPr>
              <w:t xml:space="preserve">Section 90 of the </w:t>
            </w:r>
            <w:r w:rsidRPr="41057420">
              <w:rPr>
                <w:rFonts w:ascii="Arial" w:hAnsi="Arial" w:cs="Arial"/>
                <w:i/>
                <w:iCs/>
                <w:color w:val="171717" w:themeColor="background2" w:themeShade="1A"/>
                <w:sz w:val="20"/>
                <w:szCs w:val="20"/>
              </w:rPr>
              <w:t xml:space="preserve">Access to Information Act </w:t>
            </w:r>
            <w:r w:rsidR="0015378F" w:rsidRPr="0015378F">
              <w:rPr>
                <w:rFonts w:ascii="Arial" w:hAnsi="Arial" w:cs="Arial"/>
                <w:color w:val="171717" w:themeColor="background2" w:themeShade="1A"/>
                <w:sz w:val="20"/>
                <w:szCs w:val="20"/>
              </w:rPr>
              <w:t xml:space="preserve">(ATIA) </w:t>
            </w:r>
            <w:r w:rsidRPr="41057420">
              <w:rPr>
                <w:rFonts w:ascii="Arial" w:hAnsi="Arial" w:cs="Arial"/>
                <w:color w:val="171717" w:themeColor="background2" w:themeShade="1A"/>
                <w:sz w:val="20"/>
                <w:szCs w:val="20"/>
              </w:rPr>
              <w:t>authorizes the head of a public body to specify categories of records that are in the custody or under the control of the public body and are available to the public without a</w:t>
            </w:r>
            <w:r w:rsidR="00376302">
              <w:rPr>
                <w:rFonts w:ascii="Arial" w:hAnsi="Arial" w:cs="Arial"/>
                <w:color w:val="171717" w:themeColor="background2" w:themeShade="1A"/>
                <w:sz w:val="20"/>
                <w:szCs w:val="20"/>
              </w:rPr>
              <w:t xml:space="preserve"> formal access to information</w:t>
            </w:r>
            <w:r w:rsidRPr="41057420">
              <w:rPr>
                <w:rFonts w:ascii="Arial" w:hAnsi="Arial" w:cs="Arial"/>
                <w:color w:val="171717" w:themeColor="background2" w:themeShade="1A"/>
                <w:sz w:val="20"/>
                <w:szCs w:val="20"/>
              </w:rPr>
              <w:t xml:space="preserve"> request under the Act. Access to records without a formal request is also known as proactive disclosure. </w:t>
            </w:r>
          </w:p>
          <w:p w14:paraId="634153AE" w14:textId="77777777" w:rsidR="00A031FC" w:rsidRPr="00437DB8" w:rsidRDefault="00A031FC" w:rsidP="00CB7F23">
            <w:pPr>
              <w:rPr>
                <w:rFonts w:ascii="Arial" w:hAnsi="Arial" w:cs="Arial"/>
                <w:color w:val="171717" w:themeColor="background2" w:themeShade="1A"/>
                <w:sz w:val="20"/>
                <w:szCs w:val="20"/>
              </w:rPr>
            </w:pPr>
          </w:p>
          <w:p w14:paraId="2E791A9C" w14:textId="6954126B" w:rsidR="00C90D3A" w:rsidRPr="00437DB8" w:rsidRDefault="00C90D3A" w:rsidP="00C90D3A">
            <w:pPr>
              <w:rPr>
                <w:rFonts w:ascii="Arial" w:eastAsia="Arial" w:hAnsi="Arial" w:cs="Arial"/>
                <w:sz w:val="22"/>
                <w:szCs w:val="22"/>
              </w:rPr>
            </w:pPr>
            <w:r w:rsidRPr="00437DB8">
              <w:rPr>
                <w:rFonts w:ascii="Arial" w:eastAsiaTheme="minorEastAsia" w:hAnsi="Arial" w:cs="Arial"/>
                <w:color w:val="171717" w:themeColor="background2" w:themeShade="1A"/>
                <w:sz w:val="20"/>
                <w:szCs w:val="20"/>
              </w:rPr>
              <w:t>Public bodies can take a proactive approach by setting up channels for the release of information and identifying records that are available without an access to information request</w:t>
            </w:r>
            <w:r w:rsidR="00341029">
              <w:rPr>
                <w:rFonts w:ascii="Arial" w:eastAsiaTheme="minorEastAsia" w:hAnsi="Arial" w:cs="Arial"/>
                <w:color w:val="171717" w:themeColor="background2" w:themeShade="1A"/>
                <w:sz w:val="20"/>
                <w:szCs w:val="20"/>
              </w:rPr>
              <w:t xml:space="preserve"> under</w:t>
            </w:r>
            <w:r w:rsidRPr="00437DB8">
              <w:rPr>
                <w:rFonts w:ascii="Arial" w:eastAsiaTheme="minorEastAsia" w:hAnsi="Arial" w:cs="Arial"/>
                <w:color w:val="171717" w:themeColor="background2" w:themeShade="1A"/>
                <w:sz w:val="20"/>
                <w:szCs w:val="20"/>
              </w:rPr>
              <w:t xml:space="preserve"> the Act. This may include posting information on the public body’s website or making program information available in public facing </w:t>
            </w:r>
            <w:proofErr w:type="gramStart"/>
            <w:r w:rsidRPr="00437DB8">
              <w:rPr>
                <w:rFonts w:ascii="Arial" w:eastAsiaTheme="minorEastAsia" w:hAnsi="Arial" w:cs="Arial"/>
                <w:color w:val="171717" w:themeColor="background2" w:themeShade="1A"/>
                <w:sz w:val="20"/>
                <w:szCs w:val="20"/>
              </w:rPr>
              <w:t>offices</w:t>
            </w:r>
            <w:r w:rsidR="00341029">
              <w:rPr>
                <w:rFonts w:ascii="Arial" w:eastAsiaTheme="minorEastAsia" w:hAnsi="Arial" w:cs="Arial"/>
                <w:color w:val="171717" w:themeColor="background2" w:themeShade="1A"/>
                <w:sz w:val="20"/>
                <w:szCs w:val="20"/>
              </w:rPr>
              <w:t>, or</w:t>
            </w:r>
            <w:proofErr w:type="gramEnd"/>
            <w:r w:rsidR="00341029">
              <w:rPr>
                <w:rFonts w:ascii="Arial" w:eastAsiaTheme="minorEastAsia" w:hAnsi="Arial" w:cs="Arial"/>
                <w:color w:val="171717" w:themeColor="background2" w:themeShade="1A"/>
                <w:sz w:val="20"/>
                <w:szCs w:val="20"/>
              </w:rPr>
              <w:t xml:space="preserve"> allowing direct release from a program area</w:t>
            </w:r>
            <w:r w:rsidR="00865630">
              <w:rPr>
                <w:rFonts w:ascii="Arial" w:eastAsiaTheme="minorEastAsia" w:hAnsi="Arial" w:cs="Arial"/>
                <w:color w:val="171717" w:themeColor="background2" w:themeShade="1A"/>
                <w:sz w:val="20"/>
                <w:szCs w:val="20"/>
              </w:rPr>
              <w:t xml:space="preserve"> responsible for the records</w:t>
            </w:r>
            <w:r w:rsidRPr="00437DB8">
              <w:rPr>
                <w:rFonts w:ascii="Arial" w:eastAsiaTheme="minorEastAsia" w:hAnsi="Arial" w:cs="Arial"/>
                <w:color w:val="171717" w:themeColor="background2" w:themeShade="1A"/>
                <w:sz w:val="20"/>
                <w:szCs w:val="20"/>
              </w:rPr>
              <w:t xml:space="preserve">. </w:t>
            </w:r>
            <w:r w:rsidRPr="00437DB8">
              <w:rPr>
                <w:rFonts w:ascii="Arial" w:eastAsia="Arial" w:hAnsi="Arial" w:cs="Arial"/>
                <w:sz w:val="22"/>
                <w:szCs w:val="22"/>
              </w:rPr>
              <w:t xml:space="preserve"> </w:t>
            </w:r>
          </w:p>
          <w:p w14:paraId="74538848" w14:textId="77777777" w:rsidR="001C1992" w:rsidRPr="00263CF8" w:rsidRDefault="001C1992" w:rsidP="001C1992">
            <w:pPr>
              <w:pStyle w:val="Heading3"/>
              <w:rPr>
                <w:rFonts w:ascii="Arial" w:hAnsi="Arial" w:cs="Arial"/>
                <w:b/>
                <w:bCs/>
                <w:color w:val="171717" w:themeColor="background2" w:themeShade="1A"/>
                <w:sz w:val="24"/>
                <w:szCs w:val="24"/>
              </w:rPr>
            </w:pPr>
            <w:r w:rsidRPr="00263CF8">
              <w:rPr>
                <w:rFonts w:ascii="Arial" w:hAnsi="Arial" w:cs="Arial"/>
                <w:b/>
                <w:bCs/>
                <w:color w:val="171717" w:themeColor="background2" w:themeShade="1A"/>
                <w:sz w:val="24"/>
                <w:szCs w:val="24"/>
              </w:rPr>
              <w:t>Which categories of records would fall under proactive disclosure?</w:t>
            </w:r>
          </w:p>
          <w:p w14:paraId="43A01A15" w14:textId="4C16A6A8" w:rsidR="001C1992" w:rsidRPr="004346D0" w:rsidRDefault="00475FAD" w:rsidP="001C1992">
            <w:pPr>
              <w:spacing w:after="180" w:line="240" w:lineRule="atLeast"/>
              <w:rPr>
                <w:rFonts w:ascii="Arial" w:hAnsi="Arial" w:cs="Arial"/>
                <w:b/>
                <w:bCs/>
                <w:color w:val="171717" w:themeColor="background2" w:themeShade="1A"/>
                <w:sz w:val="20"/>
                <w:szCs w:val="20"/>
              </w:rPr>
            </w:pPr>
            <w:r>
              <w:rPr>
                <w:rFonts w:ascii="Arial" w:hAnsi="Arial" w:cs="Arial"/>
                <w:sz w:val="20"/>
                <w:szCs w:val="20"/>
              </w:rPr>
              <w:t xml:space="preserve">A head of a public body can use their </w:t>
            </w:r>
            <w:r w:rsidR="00FF19DA">
              <w:rPr>
                <w:rFonts w:ascii="Arial" w:hAnsi="Arial" w:cs="Arial"/>
                <w:sz w:val="20"/>
                <w:szCs w:val="20"/>
              </w:rPr>
              <w:t>discretion</w:t>
            </w:r>
            <w:r>
              <w:rPr>
                <w:rFonts w:ascii="Arial" w:hAnsi="Arial" w:cs="Arial"/>
                <w:sz w:val="20"/>
                <w:szCs w:val="20"/>
              </w:rPr>
              <w:t xml:space="preserve"> to determine what categories are available without a formal access to information request. Common </w:t>
            </w:r>
            <w:r w:rsidR="001C1992" w:rsidRPr="00330F60">
              <w:rPr>
                <w:rFonts w:ascii="Arial" w:hAnsi="Arial" w:cs="Arial"/>
                <w:sz w:val="20"/>
                <w:szCs w:val="20"/>
              </w:rPr>
              <w:t>examples include:</w:t>
            </w:r>
            <w:r w:rsidR="001C1992" w:rsidRPr="41057420">
              <w:rPr>
                <w:rFonts w:ascii="Arial" w:hAnsi="Arial" w:cs="Arial"/>
                <w:b/>
                <w:bCs/>
                <w:sz w:val="20"/>
                <w:szCs w:val="20"/>
              </w:rPr>
              <w:t xml:space="preserve"> </w:t>
            </w:r>
          </w:p>
          <w:p w14:paraId="70156F11" w14:textId="0EB2DE04" w:rsidR="001C1992" w:rsidRPr="00472A39" w:rsidRDefault="00472A39" w:rsidP="00472A39">
            <w:pPr>
              <w:pStyle w:val="ListParagraph"/>
              <w:numPr>
                <w:ilvl w:val="0"/>
                <w:numId w:val="2"/>
              </w:numPr>
              <w:rPr>
                <w:rFonts w:ascii="Arial" w:hAnsi="Arial" w:cs="Arial"/>
                <w:color w:val="171717" w:themeColor="background2" w:themeShade="1A"/>
                <w:sz w:val="20"/>
                <w:szCs w:val="20"/>
              </w:rPr>
            </w:pPr>
            <w:r>
              <w:rPr>
                <w:rFonts w:ascii="Arial" w:hAnsi="Arial" w:cs="Arial"/>
                <w:color w:val="171717" w:themeColor="background2" w:themeShade="1A"/>
                <w:sz w:val="20"/>
                <w:szCs w:val="20"/>
              </w:rPr>
              <w:t>E</w:t>
            </w:r>
            <w:r w:rsidR="001C1992" w:rsidRPr="00472A39">
              <w:rPr>
                <w:rFonts w:ascii="Arial" w:hAnsi="Arial" w:cs="Arial"/>
                <w:color w:val="171717" w:themeColor="background2" w:themeShade="1A"/>
                <w:sz w:val="20"/>
                <w:szCs w:val="20"/>
              </w:rPr>
              <w:t xml:space="preserve">xpenses </w:t>
            </w:r>
            <w:r w:rsidR="00095862">
              <w:rPr>
                <w:rFonts w:ascii="Arial" w:hAnsi="Arial" w:cs="Arial"/>
                <w:color w:val="171717" w:themeColor="background2" w:themeShade="1A"/>
                <w:sz w:val="20"/>
                <w:szCs w:val="20"/>
              </w:rPr>
              <w:t xml:space="preserve">or financial records </w:t>
            </w:r>
            <w:r w:rsidR="001C1992" w:rsidRPr="00472A39">
              <w:rPr>
                <w:rFonts w:ascii="Arial" w:hAnsi="Arial" w:cs="Arial"/>
                <w:color w:val="171717" w:themeColor="background2" w:themeShade="1A"/>
                <w:sz w:val="20"/>
                <w:szCs w:val="20"/>
              </w:rPr>
              <w:t>(e.g. contract and grants</w:t>
            </w:r>
            <w:r>
              <w:rPr>
                <w:rFonts w:ascii="Arial" w:hAnsi="Arial" w:cs="Arial"/>
                <w:color w:val="171717" w:themeColor="background2" w:themeShade="1A"/>
                <w:sz w:val="20"/>
                <w:szCs w:val="20"/>
              </w:rPr>
              <w:t>, travel expenses</w:t>
            </w:r>
            <w:r w:rsidR="001C1992" w:rsidRPr="00472A39">
              <w:rPr>
                <w:rFonts w:ascii="Arial" w:hAnsi="Arial" w:cs="Arial"/>
                <w:color w:val="171717" w:themeColor="background2" w:themeShade="1A"/>
                <w:sz w:val="20"/>
                <w:szCs w:val="20"/>
              </w:rPr>
              <w:t xml:space="preserve">) </w:t>
            </w:r>
          </w:p>
          <w:p w14:paraId="0152DE68" w14:textId="63D34F11" w:rsidR="001C1992" w:rsidRPr="00472A39" w:rsidRDefault="001C1992" w:rsidP="00472A39">
            <w:pPr>
              <w:pStyle w:val="ListParagraph"/>
              <w:numPr>
                <w:ilvl w:val="0"/>
                <w:numId w:val="2"/>
              </w:numPr>
              <w:rPr>
                <w:rFonts w:ascii="Arial" w:hAnsi="Arial" w:cs="Arial"/>
                <w:color w:val="171717" w:themeColor="background2" w:themeShade="1A"/>
                <w:sz w:val="20"/>
                <w:szCs w:val="20"/>
              </w:rPr>
            </w:pPr>
            <w:r w:rsidRPr="00472A39">
              <w:rPr>
                <w:rFonts w:ascii="Arial" w:hAnsi="Arial" w:cs="Arial"/>
                <w:color w:val="171717" w:themeColor="background2" w:themeShade="1A"/>
                <w:sz w:val="20"/>
                <w:szCs w:val="20"/>
              </w:rPr>
              <w:t>Resources (e.g. Guidelines, Fact sheets, publications)</w:t>
            </w:r>
          </w:p>
          <w:p w14:paraId="632AFFBD" w14:textId="223BEACA" w:rsidR="001C1992" w:rsidRDefault="00472A39" w:rsidP="00472A39">
            <w:pPr>
              <w:pStyle w:val="ListParagraph"/>
              <w:numPr>
                <w:ilvl w:val="0"/>
                <w:numId w:val="2"/>
              </w:numPr>
              <w:rPr>
                <w:rFonts w:ascii="Arial" w:hAnsi="Arial" w:cs="Arial"/>
                <w:color w:val="171717" w:themeColor="background2" w:themeShade="1A"/>
                <w:sz w:val="20"/>
                <w:szCs w:val="20"/>
              </w:rPr>
            </w:pPr>
            <w:r>
              <w:rPr>
                <w:rFonts w:ascii="Arial" w:hAnsi="Arial" w:cs="Arial"/>
                <w:color w:val="171717" w:themeColor="background2" w:themeShade="1A"/>
                <w:sz w:val="20"/>
                <w:szCs w:val="20"/>
              </w:rPr>
              <w:t>Reports</w:t>
            </w:r>
            <w:r w:rsidR="00FC36AD">
              <w:rPr>
                <w:rFonts w:ascii="Arial" w:hAnsi="Arial" w:cs="Arial"/>
                <w:color w:val="171717" w:themeColor="background2" w:themeShade="1A"/>
                <w:sz w:val="20"/>
                <w:szCs w:val="20"/>
              </w:rPr>
              <w:t xml:space="preserve"> (e.g. annual reports, </w:t>
            </w:r>
            <w:r w:rsidR="002102FB">
              <w:rPr>
                <w:rFonts w:ascii="Arial" w:hAnsi="Arial" w:cs="Arial"/>
                <w:color w:val="171717" w:themeColor="background2" w:themeShade="1A"/>
                <w:sz w:val="20"/>
                <w:szCs w:val="20"/>
              </w:rPr>
              <w:t>what we heard results</w:t>
            </w:r>
            <w:r w:rsidR="006863B5">
              <w:rPr>
                <w:rFonts w:ascii="Arial" w:hAnsi="Arial" w:cs="Arial"/>
                <w:color w:val="171717" w:themeColor="background2" w:themeShade="1A"/>
                <w:sz w:val="20"/>
                <w:szCs w:val="20"/>
              </w:rPr>
              <w:t>, statistical reports</w:t>
            </w:r>
            <w:r w:rsidR="0038545E">
              <w:rPr>
                <w:rFonts w:ascii="Arial" w:hAnsi="Arial" w:cs="Arial"/>
                <w:color w:val="171717" w:themeColor="background2" w:themeShade="1A"/>
                <w:sz w:val="20"/>
                <w:szCs w:val="20"/>
              </w:rPr>
              <w:t>)</w:t>
            </w:r>
          </w:p>
          <w:p w14:paraId="281EC4FD" w14:textId="05CE059D" w:rsidR="002102FB" w:rsidRPr="00472A39" w:rsidRDefault="002102FB" w:rsidP="00472A39">
            <w:pPr>
              <w:pStyle w:val="ListParagraph"/>
              <w:numPr>
                <w:ilvl w:val="0"/>
                <w:numId w:val="2"/>
              </w:numPr>
              <w:rPr>
                <w:rFonts w:ascii="Arial" w:hAnsi="Arial" w:cs="Arial"/>
                <w:color w:val="171717" w:themeColor="background2" w:themeShade="1A"/>
                <w:sz w:val="20"/>
                <w:szCs w:val="20"/>
              </w:rPr>
            </w:pPr>
            <w:r>
              <w:rPr>
                <w:rFonts w:ascii="Arial" w:hAnsi="Arial" w:cs="Arial"/>
                <w:color w:val="171717" w:themeColor="background2" w:themeShade="1A"/>
                <w:sz w:val="20"/>
                <w:szCs w:val="20"/>
              </w:rPr>
              <w:t>Business planning or budget documents</w:t>
            </w:r>
          </w:p>
          <w:p w14:paraId="6E945B07" w14:textId="77777777" w:rsidR="00F83086" w:rsidRPr="004F5060" w:rsidRDefault="00472A39" w:rsidP="00472A39">
            <w:pPr>
              <w:pStyle w:val="ListParagraph"/>
              <w:numPr>
                <w:ilvl w:val="0"/>
                <w:numId w:val="2"/>
              </w:numPr>
              <w:rPr>
                <w:rFonts w:ascii="Arial" w:hAnsi="Arial" w:cs="Arial"/>
                <w:sz w:val="20"/>
                <w:szCs w:val="20"/>
              </w:rPr>
            </w:pPr>
            <w:r>
              <w:rPr>
                <w:rFonts w:ascii="Arial" w:hAnsi="Arial" w:cs="Arial"/>
                <w:color w:val="171717" w:themeColor="background2" w:themeShade="1A"/>
                <w:sz w:val="20"/>
                <w:szCs w:val="20"/>
              </w:rPr>
              <w:t>Surveys</w:t>
            </w:r>
            <w:r w:rsidR="00EC546F">
              <w:rPr>
                <w:rFonts w:ascii="Arial" w:hAnsi="Arial" w:cs="Arial"/>
                <w:color w:val="171717" w:themeColor="background2" w:themeShade="1A"/>
                <w:sz w:val="20"/>
                <w:szCs w:val="20"/>
              </w:rPr>
              <w:t xml:space="preserve"> results</w:t>
            </w:r>
          </w:p>
          <w:p w14:paraId="6049FD5D" w14:textId="0CB11781" w:rsidR="004F5060" w:rsidRDefault="004F5060" w:rsidP="004F5060">
            <w:pPr>
              <w:rPr>
                <w:rFonts w:ascii="Arial" w:hAnsi="Arial" w:cs="Arial"/>
                <w:sz w:val="20"/>
                <w:szCs w:val="20"/>
              </w:rPr>
            </w:pPr>
          </w:p>
          <w:p w14:paraId="256D0D90" w14:textId="6ADF7764" w:rsidR="002A3011" w:rsidRDefault="000D7C9A" w:rsidP="004F5060">
            <w:pPr>
              <w:rPr>
                <w:rFonts w:ascii="Arial" w:hAnsi="Arial" w:cs="Arial"/>
                <w:sz w:val="20"/>
                <w:szCs w:val="20"/>
              </w:rPr>
            </w:pPr>
            <w:r>
              <w:rPr>
                <w:rFonts w:ascii="Arial" w:hAnsi="Arial" w:cs="Arial"/>
                <w:sz w:val="20"/>
                <w:szCs w:val="20"/>
              </w:rPr>
              <w:t xml:space="preserve">This means the head of the public body can weigh all factors relevant to the </w:t>
            </w:r>
            <w:r w:rsidR="00062C4F">
              <w:rPr>
                <w:rFonts w:ascii="Arial" w:hAnsi="Arial" w:cs="Arial"/>
                <w:sz w:val="20"/>
                <w:szCs w:val="20"/>
              </w:rPr>
              <w:t>disclosure of the information.</w:t>
            </w:r>
          </w:p>
          <w:p w14:paraId="63AE1BC3" w14:textId="77777777" w:rsidR="002A3011" w:rsidRPr="002A3011" w:rsidRDefault="002A3011" w:rsidP="002A3011">
            <w:pPr>
              <w:spacing w:before="160" w:after="80"/>
              <w:rPr>
                <w:rFonts w:ascii="Arial" w:eastAsiaTheme="majorEastAsia" w:hAnsi="Arial" w:cs="Arial"/>
                <w:b/>
                <w:bCs/>
                <w:color w:val="171717" w:themeColor="background2" w:themeShade="1A"/>
              </w:rPr>
            </w:pPr>
            <w:r w:rsidRPr="002A3011">
              <w:rPr>
                <w:rFonts w:ascii="Arial" w:eastAsiaTheme="majorEastAsia" w:hAnsi="Arial" w:cs="Arial"/>
                <w:b/>
                <w:bCs/>
                <w:color w:val="171717" w:themeColor="background2" w:themeShade="1A"/>
              </w:rPr>
              <w:t>What types of records are not publicly available to be accessed?</w:t>
            </w:r>
          </w:p>
          <w:p w14:paraId="077555CB" w14:textId="296BFF81" w:rsidR="002A3011" w:rsidRPr="004F5060" w:rsidRDefault="002A3011" w:rsidP="002A3011">
            <w:pPr>
              <w:rPr>
                <w:rFonts w:ascii="Arial" w:hAnsi="Arial" w:cs="Arial"/>
                <w:sz w:val="20"/>
                <w:szCs w:val="20"/>
              </w:rPr>
            </w:pPr>
            <w:r w:rsidRPr="68D8E3F1">
              <w:rPr>
                <w:rFonts w:ascii="Arial" w:eastAsiaTheme="minorEastAsia" w:hAnsi="Arial" w:cs="Arial"/>
                <w:sz w:val="20"/>
                <w:szCs w:val="20"/>
              </w:rPr>
              <w:t xml:space="preserve">Under Section 90(2), </w:t>
            </w:r>
            <w:r>
              <w:rPr>
                <w:rFonts w:ascii="Arial" w:eastAsiaTheme="minorEastAsia" w:hAnsi="Arial" w:cs="Arial"/>
                <w:sz w:val="20"/>
                <w:szCs w:val="20"/>
              </w:rPr>
              <w:t>a</w:t>
            </w:r>
            <w:r w:rsidRPr="00396DEA">
              <w:rPr>
                <w:rFonts w:ascii="Arial" w:eastAsiaTheme="minorEastAsia" w:hAnsi="Arial" w:cs="Arial"/>
                <w:sz w:val="20"/>
                <w:szCs w:val="20"/>
              </w:rPr>
              <w:t>ny information that the head of a public body would be authorized or required to refuse to give access to under th</w:t>
            </w:r>
            <w:r>
              <w:rPr>
                <w:rFonts w:ascii="Arial" w:eastAsiaTheme="minorEastAsia" w:hAnsi="Arial" w:cs="Arial"/>
                <w:sz w:val="20"/>
                <w:szCs w:val="20"/>
              </w:rPr>
              <w:t xml:space="preserve">e ATIA </w:t>
            </w:r>
            <w:r w:rsidRPr="00396DEA">
              <w:rPr>
                <w:rFonts w:ascii="Arial" w:eastAsiaTheme="minorEastAsia" w:hAnsi="Arial" w:cs="Arial"/>
                <w:sz w:val="20"/>
                <w:szCs w:val="20"/>
              </w:rPr>
              <w:t>may be excluded from a record that is available to the public without a request for access.</w:t>
            </w:r>
            <w:r>
              <w:rPr>
                <w:rFonts w:ascii="Arial" w:eastAsiaTheme="minorEastAsia" w:hAnsi="Arial" w:cs="Arial"/>
                <w:sz w:val="20"/>
                <w:szCs w:val="20"/>
              </w:rPr>
              <w:t xml:space="preserve"> </w:t>
            </w:r>
            <w:r w:rsidRPr="68D8E3F1">
              <w:rPr>
                <w:rFonts w:ascii="Arial" w:eastAsiaTheme="minorEastAsia" w:hAnsi="Arial" w:cs="Arial"/>
                <w:sz w:val="20"/>
                <w:szCs w:val="20"/>
              </w:rPr>
              <w:t xml:space="preserve">In practice, this means that if a record contains sensitive or protected information that would normally be removed in response to a formal access to information request, those portions may be </w:t>
            </w:r>
            <w:r>
              <w:rPr>
                <w:rFonts w:ascii="Arial" w:eastAsiaTheme="minorEastAsia" w:hAnsi="Arial" w:cs="Arial"/>
                <w:sz w:val="20"/>
                <w:szCs w:val="20"/>
              </w:rPr>
              <w:t xml:space="preserve">withheld </w:t>
            </w:r>
            <w:r w:rsidRPr="68D8E3F1">
              <w:rPr>
                <w:rFonts w:ascii="Arial" w:eastAsiaTheme="minorEastAsia" w:hAnsi="Arial" w:cs="Arial"/>
                <w:sz w:val="20"/>
                <w:szCs w:val="20"/>
              </w:rPr>
              <w:t>before the record is made publicly available.</w:t>
            </w:r>
          </w:p>
        </w:tc>
        <w:tc>
          <w:tcPr>
            <w:tcW w:w="4955" w:type="dxa"/>
          </w:tcPr>
          <w:p w14:paraId="64482C08" w14:textId="77777777" w:rsidR="002A3011" w:rsidRDefault="002A3011" w:rsidP="00DB3423">
            <w:pPr>
              <w:rPr>
                <w:rFonts w:ascii="Arial" w:eastAsiaTheme="minorEastAsia" w:hAnsi="Arial" w:cs="Arial"/>
                <w:sz w:val="20"/>
                <w:szCs w:val="20"/>
              </w:rPr>
            </w:pPr>
          </w:p>
          <w:p w14:paraId="59EA93D7" w14:textId="3601207D" w:rsidR="00DB3423" w:rsidRDefault="249EAF0C" w:rsidP="00DB3423">
            <w:pPr>
              <w:rPr>
                <w:rFonts w:ascii="Arial" w:eastAsiaTheme="minorEastAsia" w:hAnsi="Arial" w:cs="Arial"/>
                <w:sz w:val="20"/>
                <w:szCs w:val="20"/>
              </w:rPr>
            </w:pPr>
            <w:r w:rsidRPr="00437DB8">
              <w:rPr>
                <w:rFonts w:ascii="Arial" w:eastAsiaTheme="minorEastAsia" w:hAnsi="Arial" w:cs="Arial"/>
                <w:sz w:val="20"/>
                <w:szCs w:val="20"/>
              </w:rPr>
              <w:t xml:space="preserve">As a best practice, if a public body has removed information from a record disclosed under this section, it should consider including a statement that identifies information </w:t>
            </w:r>
            <w:r w:rsidR="083ED839" w:rsidRPr="4EE63BC5">
              <w:rPr>
                <w:rFonts w:ascii="Arial" w:eastAsiaTheme="minorEastAsia" w:hAnsi="Arial" w:cs="Arial"/>
                <w:sz w:val="20"/>
                <w:szCs w:val="20"/>
              </w:rPr>
              <w:t xml:space="preserve">that </w:t>
            </w:r>
            <w:r w:rsidRPr="4EE63BC5">
              <w:rPr>
                <w:rFonts w:ascii="Arial" w:eastAsiaTheme="minorEastAsia" w:hAnsi="Arial" w:cs="Arial"/>
                <w:sz w:val="20"/>
                <w:szCs w:val="20"/>
              </w:rPr>
              <w:t>was</w:t>
            </w:r>
            <w:r w:rsidRPr="00437DB8">
              <w:rPr>
                <w:rFonts w:ascii="Arial" w:eastAsiaTheme="minorEastAsia" w:hAnsi="Arial" w:cs="Arial"/>
                <w:sz w:val="20"/>
                <w:szCs w:val="20"/>
              </w:rPr>
              <w:t xml:space="preserve"> removed and the reason why.  </w:t>
            </w:r>
          </w:p>
          <w:p w14:paraId="1137AFDB" w14:textId="77777777" w:rsidR="002A3011" w:rsidRPr="00437DB8" w:rsidRDefault="002A3011" w:rsidP="00DB3423">
            <w:pPr>
              <w:rPr>
                <w:rFonts w:ascii="Arial" w:hAnsi="Arial" w:cs="Arial"/>
                <w:sz w:val="20"/>
                <w:szCs w:val="20"/>
              </w:rPr>
            </w:pPr>
          </w:p>
          <w:p w14:paraId="034ADB80" w14:textId="4DED38C6" w:rsidR="002148F1" w:rsidRPr="00437DB8" w:rsidRDefault="2A26F3BF" w:rsidP="41057420">
            <w:pPr>
              <w:rPr>
                <w:rFonts w:ascii="Arial" w:hAnsi="Arial" w:cs="Arial"/>
                <w:sz w:val="20"/>
                <w:szCs w:val="20"/>
              </w:rPr>
            </w:pPr>
            <w:r w:rsidRPr="00437DB8">
              <w:rPr>
                <w:rFonts w:ascii="Arial" w:eastAsiaTheme="minorEastAsia" w:hAnsi="Arial" w:cs="Arial"/>
                <w:sz w:val="20"/>
                <w:szCs w:val="20"/>
              </w:rPr>
              <w:t>There is no right to request a review</w:t>
            </w:r>
            <w:r w:rsidR="003060D9">
              <w:rPr>
                <w:rFonts w:ascii="Arial" w:eastAsiaTheme="minorEastAsia" w:hAnsi="Arial" w:cs="Arial"/>
                <w:sz w:val="20"/>
                <w:szCs w:val="20"/>
              </w:rPr>
              <w:t xml:space="preserve"> by the Information and Privacy Commissioner</w:t>
            </w:r>
            <w:r w:rsidRPr="00437DB8">
              <w:rPr>
                <w:rFonts w:ascii="Arial" w:eastAsiaTheme="minorEastAsia" w:hAnsi="Arial" w:cs="Arial"/>
                <w:sz w:val="20"/>
                <w:szCs w:val="20"/>
              </w:rPr>
              <w:t xml:space="preserve"> in relation to a decision respecting whether to make a record available to the public</w:t>
            </w:r>
            <w:r w:rsidR="00FB7151">
              <w:rPr>
                <w:rFonts w:ascii="Arial" w:eastAsiaTheme="minorEastAsia" w:hAnsi="Arial" w:cs="Arial"/>
                <w:sz w:val="20"/>
                <w:szCs w:val="20"/>
              </w:rPr>
              <w:t xml:space="preserve"> and the information contained in the record that is released</w:t>
            </w:r>
            <w:r w:rsidRPr="00437DB8">
              <w:rPr>
                <w:rFonts w:ascii="Arial" w:eastAsiaTheme="minorEastAsia" w:hAnsi="Arial" w:cs="Arial"/>
                <w:sz w:val="20"/>
                <w:szCs w:val="20"/>
              </w:rPr>
              <w:t>.</w:t>
            </w:r>
          </w:p>
          <w:p w14:paraId="4F162B4C" w14:textId="77777777" w:rsidR="00AD3298" w:rsidRDefault="00AD3298" w:rsidP="41057420">
            <w:pPr>
              <w:rPr>
                <w:rFonts w:ascii="Arial" w:hAnsi="Arial" w:cs="Arial"/>
                <w:sz w:val="20"/>
                <w:szCs w:val="20"/>
              </w:rPr>
            </w:pPr>
          </w:p>
          <w:p w14:paraId="5540C1F0" w14:textId="499721F1" w:rsidR="002148F1" w:rsidRPr="002A3011" w:rsidRDefault="00AD3298" w:rsidP="41057420">
            <w:pPr>
              <w:rPr>
                <w:rFonts w:ascii="Arial" w:hAnsi="Arial" w:cs="Arial"/>
                <w:sz w:val="20"/>
                <w:szCs w:val="20"/>
              </w:rPr>
            </w:pPr>
            <w:r>
              <w:rPr>
                <w:rFonts w:ascii="Arial" w:eastAsiaTheme="minorEastAsia" w:hAnsi="Arial" w:cs="Arial"/>
                <w:sz w:val="20"/>
                <w:szCs w:val="20"/>
              </w:rPr>
              <w:t>It should be noted that s</w:t>
            </w:r>
            <w:r w:rsidRPr="006D30AD">
              <w:rPr>
                <w:rFonts w:ascii="Arial" w:eastAsiaTheme="minorEastAsia" w:hAnsi="Arial" w:cs="Arial"/>
                <w:sz w:val="20"/>
                <w:szCs w:val="20"/>
              </w:rPr>
              <w:t>ection 92 does not permit individuals to make formal access requests for records already made available under Section 90. If an individual requests such information, the public body should direct them to where the records are published and provide guidance on how to obtain them if additional steps are required.</w:t>
            </w:r>
          </w:p>
          <w:p w14:paraId="305CF8BE" w14:textId="040D6476" w:rsidR="002148F1" w:rsidRPr="00263CF8" w:rsidRDefault="002148F1" w:rsidP="002A3011">
            <w:pPr>
              <w:spacing w:before="160" w:after="80"/>
              <w:rPr>
                <w:rFonts w:ascii="Arial" w:hAnsi="Arial" w:cs="Arial"/>
                <w:b/>
                <w:bCs/>
              </w:rPr>
            </w:pPr>
            <w:r w:rsidRPr="00263CF8">
              <w:rPr>
                <w:rFonts w:ascii="Arial" w:hAnsi="Arial" w:cs="Arial"/>
                <w:b/>
                <w:bCs/>
              </w:rPr>
              <w:t xml:space="preserve">Are there fees to access records that are </w:t>
            </w:r>
            <w:r w:rsidR="000508DE" w:rsidRPr="00263CF8">
              <w:rPr>
                <w:rFonts w:ascii="Arial" w:hAnsi="Arial" w:cs="Arial"/>
                <w:b/>
                <w:bCs/>
              </w:rPr>
              <w:t>proactively disclosed</w:t>
            </w:r>
            <w:r w:rsidRPr="00263CF8">
              <w:rPr>
                <w:rFonts w:ascii="Arial" w:hAnsi="Arial" w:cs="Arial"/>
                <w:b/>
                <w:bCs/>
              </w:rPr>
              <w:t>?</w:t>
            </w:r>
          </w:p>
          <w:p w14:paraId="6607306A" w14:textId="6AF5E3E3" w:rsidR="000508DE" w:rsidRDefault="002148F1" w:rsidP="002148F1">
            <w:pPr>
              <w:rPr>
                <w:rFonts w:ascii="Arial" w:hAnsi="Arial" w:cs="Arial"/>
                <w:sz w:val="20"/>
                <w:szCs w:val="20"/>
              </w:rPr>
            </w:pPr>
            <w:r w:rsidRPr="002148F1">
              <w:rPr>
                <w:rFonts w:ascii="Arial" w:hAnsi="Arial" w:cs="Arial"/>
                <w:sz w:val="20"/>
                <w:szCs w:val="20"/>
              </w:rPr>
              <w:t>A public body</w:t>
            </w:r>
            <w:r w:rsidR="008711E0">
              <w:rPr>
                <w:rFonts w:ascii="Arial" w:hAnsi="Arial" w:cs="Arial"/>
                <w:sz w:val="20"/>
                <w:szCs w:val="20"/>
              </w:rPr>
              <w:t xml:space="preserve"> under section </w:t>
            </w:r>
            <w:r w:rsidR="008010EE">
              <w:rPr>
                <w:rFonts w:ascii="Arial" w:hAnsi="Arial" w:cs="Arial"/>
                <w:sz w:val="20"/>
                <w:szCs w:val="20"/>
              </w:rPr>
              <w:t>90(3)</w:t>
            </w:r>
            <w:r w:rsidRPr="002148F1">
              <w:rPr>
                <w:rFonts w:ascii="Arial" w:hAnsi="Arial" w:cs="Arial"/>
                <w:sz w:val="20"/>
                <w:szCs w:val="20"/>
              </w:rPr>
              <w:t xml:space="preserve"> may require a person who asks for a copy of a record to pay a fee, unless such a record can otherwise be accessed without a fee.</w:t>
            </w:r>
          </w:p>
          <w:p w14:paraId="4A3F5389" w14:textId="77777777" w:rsidR="00637F89" w:rsidRPr="00263CF8" w:rsidRDefault="00637F89" w:rsidP="00637F89">
            <w:pPr>
              <w:pStyle w:val="Heading3"/>
              <w:rPr>
                <w:rFonts w:ascii="Arial" w:hAnsi="Arial" w:cs="Arial"/>
                <w:b/>
                <w:bCs/>
                <w:color w:val="171717" w:themeColor="background2" w:themeShade="1A"/>
                <w:sz w:val="24"/>
                <w:szCs w:val="24"/>
              </w:rPr>
            </w:pPr>
            <w:r w:rsidRPr="00263CF8">
              <w:rPr>
                <w:rFonts w:ascii="Arial" w:hAnsi="Arial" w:cs="Arial"/>
                <w:b/>
                <w:bCs/>
                <w:color w:val="171717" w:themeColor="background2" w:themeShade="1A"/>
                <w:sz w:val="24"/>
                <w:szCs w:val="24"/>
              </w:rPr>
              <w:t>How does proactive disclosure benefit Albertans?</w:t>
            </w:r>
          </w:p>
          <w:p w14:paraId="6AF3C269" w14:textId="6A88F636" w:rsidR="0091758C" w:rsidRPr="00405535" w:rsidRDefault="0091758C" w:rsidP="0091758C">
            <w:pPr>
              <w:pStyle w:val="ListParagraph"/>
              <w:numPr>
                <w:ilvl w:val="0"/>
                <w:numId w:val="1"/>
              </w:numPr>
              <w:autoSpaceDE w:val="0"/>
              <w:autoSpaceDN w:val="0"/>
              <w:adjustRightInd w:val="0"/>
              <w:spacing w:after="180" w:line="240" w:lineRule="atLeast"/>
              <w:textAlignment w:val="center"/>
              <w:rPr>
                <w:rFonts w:ascii="Arial" w:hAnsi="Arial" w:cs="Arial"/>
                <w:color w:val="171717" w:themeColor="background2" w:themeShade="1A"/>
                <w:sz w:val="20"/>
                <w:szCs w:val="20"/>
              </w:rPr>
            </w:pPr>
            <w:r w:rsidRPr="00405535">
              <w:rPr>
                <w:rFonts w:ascii="Arial" w:hAnsi="Arial" w:cs="Arial"/>
                <w:color w:val="171717" w:themeColor="background2" w:themeShade="1A"/>
                <w:sz w:val="20"/>
                <w:szCs w:val="20"/>
              </w:rPr>
              <w:t xml:space="preserve">Promotes transparency, accountability and consistency in government operations. </w:t>
            </w:r>
          </w:p>
          <w:p w14:paraId="24763274" w14:textId="77777777" w:rsidR="0091758C" w:rsidRPr="00405535" w:rsidRDefault="0091758C" w:rsidP="0091758C">
            <w:pPr>
              <w:pStyle w:val="ListParagraph"/>
              <w:numPr>
                <w:ilvl w:val="0"/>
                <w:numId w:val="1"/>
              </w:numPr>
              <w:autoSpaceDE w:val="0"/>
              <w:autoSpaceDN w:val="0"/>
              <w:adjustRightInd w:val="0"/>
              <w:spacing w:after="180" w:line="240" w:lineRule="atLeast"/>
              <w:textAlignment w:val="center"/>
              <w:rPr>
                <w:rFonts w:ascii="Arial" w:hAnsi="Arial" w:cs="Arial"/>
                <w:color w:val="171717" w:themeColor="background2" w:themeShade="1A"/>
                <w:sz w:val="20"/>
                <w:szCs w:val="20"/>
              </w:rPr>
            </w:pPr>
            <w:r w:rsidRPr="00405535">
              <w:rPr>
                <w:rFonts w:ascii="Arial" w:hAnsi="Arial" w:cs="Arial"/>
                <w:color w:val="171717" w:themeColor="background2" w:themeShade="1A"/>
                <w:sz w:val="20"/>
                <w:szCs w:val="20"/>
              </w:rPr>
              <w:t>Increases public trust in Alberta's government institutions.</w:t>
            </w:r>
          </w:p>
          <w:p w14:paraId="657A4CCD" w14:textId="36BA9A8C" w:rsidR="0091758C" w:rsidRPr="00405535" w:rsidRDefault="0091758C" w:rsidP="0091758C">
            <w:pPr>
              <w:pStyle w:val="ListParagraph"/>
              <w:numPr>
                <w:ilvl w:val="0"/>
                <w:numId w:val="1"/>
              </w:numPr>
              <w:autoSpaceDE w:val="0"/>
              <w:autoSpaceDN w:val="0"/>
              <w:adjustRightInd w:val="0"/>
              <w:spacing w:after="180" w:line="240" w:lineRule="atLeast"/>
              <w:textAlignment w:val="center"/>
              <w:rPr>
                <w:rFonts w:ascii="Arial" w:hAnsi="Arial" w:cs="Arial"/>
                <w:b/>
                <w:bCs/>
                <w:color w:val="171717" w:themeColor="background2" w:themeShade="1A"/>
                <w:sz w:val="20"/>
                <w:szCs w:val="20"/>
              </w:rPr>
            </w:pPr>
            <w:r w:rsidRPr="00405535">
              <w:rPr>
                <w:rFonts w:ascii="Arial" w:hAnsi="Arial" w:cs="Arial"/>
                <w:color w:val="171717" w:themeColor="background2" w:themeShade="1A"/>
                <w:sz w:val="20"/>
                <w:szCs w:val="20"/>
              </w:rPr>
              <w:t>Facilitates efficient access to government records for Albertans.</w:t>
            </w:r>
            <w:r w:rsidRPr="00405535">
              <w:rPr>
                <w:rFonts w:ascii="Arial" w:hAnsi="Arial" w:cs="Arial"/>
                <w:b/>
                <w:bCs/>
                <w:color w:val="171717" w:themeColor="background2" w:themeShade="1A"/>
                <w:sz w:val="20"/>
                <w:szCs w:val="20"/>
              </w:rPr>
              <w:t> </w:t>
            </w:r>
          </w:p>
          <w:p w14:paraId="3B68F25C" w14:textId="513D8B42" w:rsidR="00DB3423" w:rsidRPr="002A3011" w:rsidRDefault="0091758C" w:rsidP="002A3011">
            <w:pPr>
              <w:pStyle w:val="ListParagraph"/>
              <w:numPr>
                <w:ilvl w:val="0"/>
                <w:numId w:val="1"/>
              </w:numPr>
              <w:autoSpaceDE w:val="0"/>
              <w:autoSpaceDN w:val="0"/>
              <w:adjustRightInd w:val="0"/>
              <w:spacing w:after="180" w:line="240" w:lineRule="atLeast"/>
              <w:textAlignment w:val="center"/>
              <w:rPr>
                <w:rFonts w:ascii="Arial" w:hAnsi="Arial" w:cs="Arial"/>
                <w:b/>
                <w:bCs/>
                <w:color w:val="171717" w:themeColor="background2" w:themeShade="1A"/>
                <w:sz w:val="20"/>
                <w:szCs w:val="20"/>
              </w:rPr>
            </w:pPr>
            <w:r w:rsidRPr="41057420">
              <w:rPr>
                <w:rFonts w:ascii="Arial" w:hAnsi="Arial" w:cs="Arial"/>
                <w:color w:val="171717" w:themeColor="background2" w:themeShade="1A"/>
                <w:sz w:val="20"/>
                <w:szCs w:val="20"/>
              </w:rPr>
              <w:t>Demonstrates commitment to open government principles.</w:t>
            </w:r>
          </w:p>
        </w:tc>
      </w:tr>
    </w:tbl>
    <w:p w14:paraId="5B9162BB" w14:textId="76737201" w:rsidR="00F83086" w:rsidRPr="00405535" w:rsidRDefault="00F83086" w:rsidP="002A3011">
      <w:pPr>
        <w:tabs>
          <w:tab w:val="left" w:pos="7800"/>
          <w:tab w:val="right" w:pos="10080"/>
        </w:tabs>
        <w:rPr>
          <w:rFonts w:ascii="Arial" w:hAnsi="Arial" w:cs="Arial"/>
          <w:sz w:val="20"/>
          <w:szCs w:val="20"/>
        </w:rPr>
      </w:pPr>
    </w:p>
    <w:sectPr w:rsidR="00F83086" w:rsidRPr="00405535" w:rsidSect="00F83086">
      <w:headerReference w:type="default" r:id="rId12"/>
      <w:footerReference w:type="even" r:id="rId13"/>
      <w:footerReference w:type="default" r:id="rId14"/>
      <w:footerReference w:type="first" r:id="rId15"/>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C3D45" w14:textId="77777777" w:rsidR="00946CFF" w:rsidRDefault="00946CFF" w:rsidP="004055C2">
      <w:pPr>
        <w:spacing w:after="0" w:line="240" w:lineRule="auto"/>
      </w:pPr>
      <w:r>
        <w:separator/>
      </w:r>
    </w:p>
  </w:endnote>
  <w:endnote w:type="continuationSeparator" w:id="0">
    <w:p w14:paraId="0FAE260B" w14:textId="77777777" w:rsidR="00946CFF" w:rsidRDefault="00946CFF" w:rsidP="004055C2">
      <w:pPr>
        <w:spacing w:after="0" w:line="240" w:lineRule="auto"/>
      </w:pPr>
      <w:r>
        <w:continuationSeparator/>
      </w:r>
    </w:p>
  </w:endnote>
  <w:endnote w:type="continuationNotice" w:id="1">
    <w:p w14:paraId="4BCB24D6" w14:textId="77777777" w:rsidR="00946CFF" w:rsidRDefault="00946C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226F3" w14:textId="742B856D" w:rsidR="004055C2" w:rsidRDefault="00003AA9">
    <w:pPr>
      <w:pStyle w:val="Footer"/>
    </w:pPr>
    <w:r>
      <w:rPr>
        <w:noProof/>
      </w:rPr>
      <mc:AlternateContent>
        <mc:Choice Requires="wps">
          <w:drawing>
            <wp:anchor distT="0" distB="0" distL="0" distR="0" simplePos="0" relativeHeight="251660291" behindDoc="0" locked="0" layoutInCell="1" allowOverlap="1" wp14:anchorId="44AA8B60" wp14:editId="46290E92">
              <wp:simplePos x="635" y="635"/>
              <wp:positionH relativeFrom="page">
                <wp:align>left</wp:align>
              </wp:positionH>
              <wp:positionV relativeFrom="page">
                <wp:align>bottom</wp:align>
              </wp:positionV>
              <wp:extent cx="1402715" cy="387985"/>
              <wp:effectExtent l="0" t="0" r="6985" b="0"/>
              <wp:wrapNone/>
              <wp:docPr id="846849249"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084158B9" w14:textId="4DF56548" w:rsidR="00003AA9" w:rsidRPr="00003AA9" w:rsidRDefault="00003AA9" w:rsidP="00003AA9">
                          <w:pPr>
                            <w:spacing w:after="0"/>
                            <w:rPr>
                              <w:rFonts w:ascii="Calibri" w:eastAsia="Calibri" w:hAnsi="Calibri" w:cs="Calibri"/>
                              <w:noProof/>
                              <w:color w:val="000000"/>
                              <w:sz w:val="22"/>
                              <w:szCs w:val="22"/>
                            </w:rPr>
                          </w:pPr>
                          <w:r w:rsidRPr="00003AA9">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4AA8B60" id="_x0000_t202" coordsize="21600,21600" o:spt="202" path="m,l,21600r21600,l21600,xe">
              <v:stroke joinstyle="miter"/>
              <v:path gradientshapeok="t" o:connecttype="rect"/>
            </v:shapetype>
            <v:shape id="Text Box 2" o:spid="_x0000_s1026" type="#_x0000_t202" alt="Classification: Public" style="position:absolute;margin-left:0;margin-top:0;width:110.45pt;height:30.55pt;z-index:25166029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" filled="f" stroked="f">
              <v:fill o:detectmouseclick="t"/>
              <v:textbox style="mso-fit-shape-to-text:t" inset="20pt,0,0,15pt">
                <w:txbxContent>
                  <w:p w14:paraId="084158B9" w14:textId="4DF56548" w:rsidR="00003AA9" w:rsidRPr="00003AA9" w:rsidRDefault="00003AA9" w:rsidP="00003AA9">
                    <w:pPr>
                      <w:spacing w:after="0"/>
                      <w:rPr>
                        <w:rFonts w:ascii="Calibri" w:eastAsia="Calibri" w:hAnsi="Calibri" w:cs="Calibri"/>
                        <w:noProof/>
                        <w:color w:val="000000"/>
                        <w:sz w:val="22"/>
                        <w:szCs w:val="22"/>
                      </w:rPr>
                    </w:pPr>
                    <w:r w:rsidRPr="00003AA9">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90E3" w14:textId="3E6A36B1" w:rsidR="004055C2" w:rsidRPr="00003AA9" w:rsidRDefault="00003AA9" w:rsidP="00003AA9">
    <w:pPr>
      <w:pStyle w:val="Footer"/>
      <w:jc w:val="both"/>
      <w:rPr>
        <w:rFonts w:ascii="Arial" w:hAnsi="Arial" w:cs="Arial"/>
      </w:rPr>
    </w:pPr>
    <w:r w:rsidRPr="00003AA9">
      <w:rPr>
        <w:rFonts w:ascii="Arial" w:hAnsi="Arial" w:cs="Arial"/>
        <w:noProof/>
        <w:color w:val="36424A"/>
        <w:sz w:val="6"/>
        <w:szCs w:val="8"/>
        <w:lang w:eastAsia="en-CA"/>
      </w:rPr>
      <mc:AlternateContent>
        <mc:Choice Requires="wps">
          <w:drawing>
            <wp:anchor distT="0" distB="0" distL="0" distR="0" simplePos="0" relativeHeight="251661315" behindDoc="0" locked="0" layoutInCell="1" allowOverlap="1" wp14:anchorId="5F5BC9ED" wp14:editId="583C7EC0">
              <wp:simplePos x="685800" y="9420225"/>
              <wp:positionH relativeFrom="page">
                <wp:align>left</wp:align>
              </wp:positionH>
              <wp:positionV relativeFrom="page">
                <wp:align>bottom</wp:align>
              </wp:positionV>
              <wp:extent cx="1402715" cy="387985"/>
              <wp:effectExtent l="0" t="0" r="6985" b="0"/>
              <wp:wrapNone/>
              <wp:docPr id="794231757"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46C0B7EC" w14:textId="6A5CBF02" w:rsidR="00003AA9" w:rsidRPr="00003AA9" w:rsidRDefault="00003AA9" w:rsidP="00003AA9">
                          <w:pPr>
                            <w:spacing w:after="0"/>
                            <w:rPr>
                              <w:rFonts w:ascii="Calibri" w:eastAsia="Calibri" w:hAnsi="Calibri" w:cs="Calibri"/>
                              <w:noProof/>
                              <w:color w:val="000000"/>
                              <w:sz w:val="22"/>
                              <w:szCs w:val="22"/>
                            </w:rPr>
                          </w:pPr>
                          <w:r w:rsidRPr="00003AA9">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F5BC9ED" id="_x0000_t202" coordsize="21600,21600" o:spt="202" path="m,l,21600r21600,l21600,xe">
              <v:stroke joinstyle="miter"/>
              <v:path gradientshapeok="t" o:connecttype="rect"/>
            </v:shapetype>
            <v:shape id="Text Box 3" o:spid="_x0000_s1027" type="#_x0000_t202" alt="Classification: Public" style="position:absolute;left:0;text-align:left;margin-left:0;margin-top:0;width:110.45pt;height:30.55pt;z-index:25166131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" filled="f" stroked="f">
              <v:fill o:detectmouseclick="t"/>
              <v:textbox style="mso-fit-shape-to-text:t" inset="20pt,0,0,15pt">
                <w:txbxContent>
                  <w:p w14:paraId="46C0B7EC" w14:textId="6A5CBF02" w:rsidR="00003AA9" w:rsidRPr="00003AA9" w:rsidRDefault="00003AA9" w:rsidP="00003AA9">
                    <w:pPr>
                      <w:spacing w:after="0"/>
                      <w:rPr>
                        <w:rFonts w:ascii="Calibri" w:eastAsia="Calibri" w:hAnsi="Calibri" w:cs="Calibri"/>
                        <w:noProof/>
                        <w:color w:val="000000"/>
                        <w:sz w:val="22"/>
                        <w:szCs w:val="22"/>
                      </w:rPr>
                    </w:pPr>
                    <w:r w:rsidRPr="00003AA9">
                      <w:rPr>
                        <w:rFonts w:ascii="Calibri" w:eastAsia="Calibri" w:hAnsi="Calibri" w:cs="Calibri"/>
                        <w:noProof/>
                        <w:color w:val="000000"/>
                        <w:sz w:val="22"/>
                        <w:szCs w:val="22"/>
                      </w:rPr>
                      <w:t>Classification: Public</w:t>
                    </w:r>
                  </w:p>
                </w:txbxContent>
              </v:textbox>
              <w10:wrap anchorx="page" anchory="page"/>
            </v:shape>
          </w:pict>
        </mc:Fallback>
      </mc:AlternateContent>
    </w:r>
    <w:r w:rsidR="00F71417" w:rsidRPr="00003AA9">
      <w:rPr>
        <w:rFonts w:ascii="Arial" w:hAnsi="Arial" w:cs="Arial"/>
        <w:noProof/>
        <w:color w:val="36424A"/>
        <w:sz w:val="6"/>
        <w:szCs w:val="8"/>
        <w:lang w:eastAsia="en-CA"/>
      </w:rPr>
      <w:drawing>
        <wp:anchor distT="0" distB="0" distL="114300" distR="114300" simplePos="0" relativeHeight="251658243" behindDoc="0" locked="0" layoutInCell="1" allowOverlap="1" wp14:anchorId="757658F6" wp14:editId="3C37F06A">
          <wp:simplePos x="0" y="0"/>
          <wp:positionH relativeFrom="column">
            <wp:posOffset>5287224</wp:posOffset>
          </wp:positionH>
          <wp:positionV relativeFrom="page">
            <wp:posOffset>9422765</wp:posOffset>
          </wp:positionV>
          <wp:extent cx="1134745" cy="320040"/>
          <wp:effectExtent l="0" t="0" r="8255" b="3810"/>
          <wp:wrapNone/>
          <wp:docPr id="757639772" name="Picture 757639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134745" cy="320040"/>
                  </a:xfrm>
                  <a:prstGeom prst="rect">
                    <a:avLst/>
                  </a:prstGeom>
                </pic:spPr>
              </pic:pic>
            </a:graphicData>
          </a:graphic>
          <wp14:sizeRelH relativeFrom="margin">
            <wp14:pctWidth>0</wp14:pctWidth>
          </wp14:sizeRelH>
        </wp:anchor>
      </w:drawing>
    </w:r>
    <w:r w:rsidRPr="00003AA9">
      <w:rPr>
        <w:rFonts w:ascii="Arial" w:hAnsi="Arial" w:cs="Arial"/>
        <w:sz w:val="18"/>
        <w:szCs w:val="18"/>
      </w:rPr>
      <w:t xml:space="preserve">©Government of Alberta | January </w:t>
    </w:r>
    <w:r>
      <w:rPr>
        <w:rFonts w:ascii="Arial" w:hAnsi="Arial" w:cs="Arial"/>
        <w:sz w:val="18"/>
        <w:szCs w:val="18"/>
      </w:rPr>
      <w:t>7</w:t>
    </w:r>
    <w:r w:rsidRPr="00003AA9">
      <w:rPr>
        <w:rFonts w:ascii="Arial" w:hAnsi="Arial" w:cs="Arial"/>
        <w:sz w:val="18"/>
        <w:szCs w:val="18"/>
      </w:rPr>
      <w:t xml:space="preserve">, </w:t>
    </w:r>
    <w:proofErr w:type="gramStart"/>
    <w:r w:rsidRPr="00003AA9">
      <w:rPr>
        <w:rFonts w:ascii="Arial" w:hAnsi="Arial" w:cs="Arial"/>
        <w:sz w:val="18"/>
        <w:szCs w:val="18"/>
      </w:rPr>
      <w:t>2026</w:t>
    </w:r>
    <w:proofErr w:type="gramEnd"/>
    <w:r w:rsidRPr="00003AA9">
      <w:rPr>
        <w:rFonts w:ascii="Arial" w:hAnsi="Arial" w:cs="Arial"/>
        <w:sz w:val="18"/>
        <w:szCs w:val="18"/>
      </w:rPr>
      <w:t xml:space="preserve"> | Technology and Innovation</w:t>
    </w:r>
    <w:r w:rsidR="00150D6E" w:rsidRPr="00003AA9">
      <w:rPr>
        <w:rFonts w:ascii="Arial" w:hAnsi="Arial" w:cs="Arial"/>
      </w:rPr>
      <w:tab/>
    </w:r>
    <w:r w:rsidR="00150D6E" w:rsidRPr="00003AA9">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7E797" w14:textId="236CB8DD" w:rsidR="004055C2" w:rsidRDefault="00003AA9">
    <w:pPr>
      <w:pStyle w:val="Footer"/>
    </w:pPr>
    <w:r>
      <w:rPr>
        <w:noProof/>
      </w:rPr>
      <mc:AlternateContent>
        <mc:Choice Requires="wps">
          <w:drawing>
            <wp:anchor distT="0" distB="0" distL="0" distR="0" simplePos="0" relativeHeight="251659267" behindDoc="0" locked="0" layoutInCell="1" allowOverlap="1" wp14:anchorId="1CFCCDF4" wp14:editId="0A9CCAAB">
              <wp:simplePos x="635" y="635"/>
              <wp:positionH relativeFrom="page">
                <wp:align>left</wp:align>
              </wp:positionH>
              <wp:positionV relativeFrom="page">
                <wp:align>bottom</wp:align>
              </wp:positionV>
              <wp:extent cx="1402715" cy="387985"/>
              <wp:effectExtent l="0" t="0" r="6985" b="0"/>
              <wp:wrapNone/>
              <wp:docPr id="1176339275"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387985"/>
                      </a:xfrm>
                      <a:prstGeom prst="rect">
                        <a:avLst/>
                      </a:prstGeom>
                      <a:noFill/>
                      <a:ln>
                        <a:noFill/>
                      </a:ln>
                    </wps:spPr>
                    <wps:txbx>
                      <w:txbxContent>
                        <w:p w14:paraId="27E1972C" w14:textId="14713659" w:rsidR="00003AA9" w:rsidRPr="00003AA9" w:rsidRDefault="00003AA9" w:rsidP="00003AA9">
                          <w:pPr>
                            <w:spacing w:after="0"/>
                            <w:rPr>
                              <w:rFonts w:ascii="Calibri" w:eastAsia="Calibri" w:hAnsi="Calibri" w:cs="Calibri"/>
                              <w:noProof/>
                              <w:color w:val="000000"/>
                              <w:sz w:val="22"/>
                              <w:szCs w:val="22"/>
                            </w:rPr>
                          </w:pPr>
                          <w:r w:rsidRPr="00003AA9">
                            <w:rPr>
                              <w:rFonts w:ascii="Calibri" w:eastAsia="Calibri" w:hAnsi="Calibri" w:cs="Calibri"/>
                              <w:noProof/>
                              <w:color w:val="000000"/>
                              <w:sz w:val="22"/>
                              <w:szCs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CFCCDF4" id="_x0000_t202" coordsize="21600,21600" o:spt="202" path="m,l,21600r21600,l21600,xe">
              <v:stroke joinstyle="miter"/>
              <v:path gradientshapeok="t" o:connecttype="rect"/>
            </v:shapetype>
            <v:shape id="Text Box 1" o:spid="_x0000_s1028" type="#_x0000_t202" alt="Classification: Public" style="position:absolute;margin-left:0;margin-top:0;width:110.45pt;height:30.55pt;z-index:25165926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" filled="f" stroked="f">
              <v:fill o:detectmouseclick="t"/>
              <v:textbox style="mso-fit-shape-to-text:t" inset="20pt,0,0,15pt">
                <w:txbxContent>
                  <w:p w14:paraId="27E1972C" w14:textId="14713659" w:rsidR="00003AA9" w:rsidRPr="00003AA9" w:rsidRDefault="00003AA9" w:rsidP="00003AA9">
                    <w:pPr>
                      <w:spacing w:after="0"/>
                      <w:rPr>
                        <w:rFonts w:ascii="Calibri" w:eastAsia="Calibri" w:hAnsi="Calibri" w:cs="Calibri"/>
                        <w:noProof/>
                        <w:color w:val="000000"/>
                        <w:sz w:val="22"/>
                        <w:szCs w:val="22"/>
                      </w:rPr>
                    </w:pPr>
                    <w:r w:rsidRPr="00003AA9">
                      <w:rPr>
                        <w:rFonts w:ascii="Calibri" w:eastAsia="Calibri" w:hAnsi="Calibri" w:cs="Calibri"/>
                        <w:noProof/>
                        <w:color w:val="000000"/>
                        <w:sz w:val="22"/>
                        <w:szCs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FADCD" w14:textId="77777777" w:rsidR="00946CFF" w:rsidRDefault="00946CFF" w:rsidP="004055C2">
      <w:pPr>
        <w:spacing w:after="0" w:line="240" w:lineRule="auto"/>
      </w:pPr>
      <w:r>
        <w:separator/>
      </w:r>
    </w:p>
  </w:footnote>
  <w:footnote w:type="continuationSeparator" w:id="0">
    <w:p w14:paraId="6737CDCE" w14:textId="77777777" w:rsidR="00946CFF" w:rsidRDefault="00946CFF" w:rsidP="004055C2">
      <w:pPr>
        <w:spacing w:after="0" w:line="240" w:lineRule="auto"/>
      </w:pPr>
      <w:r>
        <w:continuationSeparator/>
      </w:r>
    </w:p>
  </w:footnote>
  <w:footnote w:type="continuationNotice" w:id="1">
    <w:p w14:paraId="2B1F21E1" w14:textId="77777777" w:rsidR="00946CFF" w:rsidRDefault="00946C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23939" w14:textId="59FBBA8F" w:rsidR="0068424C" w:rsidRDefault="00986A21">
    <w:pPr>
      <w:pStyle w:val="Header"/>
    </w:pPr>
    <w:r>
      <w:rPr>
        <w:noProof/>
      </w:rPr>
      <w:drawing>
        <wp:inline distT="0" distB="0" distL="0" distR="0" wp14:anchorId="628E76A3" wp14:editId="314C5F96">
          <wp:extent cx="298450" cy="135890"/>
          <wp:effectExtent l="0" t="0" r="6350" b="0"/>
          <wp:docPr id="3738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450" cy="135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3EDB"/>
    <w:multiLevelType w:val="hybridMultilevel"/>
    <w:tmpl w:val="1286DA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57D13794"/>
    <w:multiLevelType w:val="hybridMultilevel"/>
    <w:tmpl w:val="BF8A94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94346095">
    <w:abstractNumId w:val="0"/>
  </w:num>
  <w:num w:numId="2" w16cid:durableId="1481000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86"/>
    <w:rsid w:val="00003AA9"/>
    <w:rsid w:val="00012B80"/>
    <w:rsid w:val="000213F3"/>
    <w:rsid w:val="00025C1D"/>
    <w:rsid w:val="00031EC2"/>
    <w:rsid w:val="000508DE"/>
    <w:rsid w:val="000544A5"/>
    <w:rsid w:val="00062C4F"/>
    <w:rsid w:val="0008345A"/>
    <w:rsid w:val="00093237"/>
    <w:rsid w:val="00095862"/>
    <w:rsid w:val="00097381"/>
    <w:rsid w:val="000A6055"/>
    <w:rsid w:val="000B3F67"/>
    <w:rsid w:val="000C3AB5"/>
    <w:rsid w:val="000C7E3B"/>
    <w:rsid w:val="000D6291"/>
    <w:rsid w:val="000D7C9A"/>
    <w:rsid w:val="000E05EF"/>
    <w:rsid w:val="000E1679"/>
    <w:rsid w:val="000E1D05"/>
    <w:rsid w:val="000F4B00"/>
    <w:rsid w:val="00112D4D"/>
    <w:rsid w:val="00132D8D"/>
    <w:rsid w:val="00150D6E"/>
    <w:rsid w:val="0015378F"/>
    <w:rsid w:val="00163352"/>
    <w:rsid w:val="00163478"/>
    <w:rsid w:val="001642D7"/>
    <w:rsid w:val="0016562A"/>
    <w:rsid w:val="0017171D"/>
    <w:rsid w:val="00175E19"/>
    <w:rsid w:val="001A0E21"/>
    <w:rsid w:val="001B1B0B"/>
    <w:rsid w:val="001B438E"/>
    <w:rsid w:val="001B776B"/>
    <w:rsid w:val="001C1992"/>
    <w:rsid w:val="001E7762"/>
    <w:rsid w:val="001F123D"/>
    <w:rsid w:val="002102E8"/>
    <w:rsid w:val="002102FB"/>
    <w:rsid w:val="002123D7"/>
    <w:rsid w:val="002148F1"/>
    <w:rsid w:val="00222F90"/>
    <w:rsid w:val="00232396"/>
    <w:rsid w:val="00235D68"/>
    <w:rsid w:val="002447BE"/>
    <w:rsid w:val="00252E85"/>
    <w:rsid w:val="00263CF8"/>
    <w:rsid w:val="0026425A"/>
    <w:rsid w:val="00265606"/>
    <w:rsid w:val="00265A09"/>
    <w:rsid w:val="002935D9"/>
    <w:rsid w:val="00296AC1"/>
    <w:rsid w:val="002A2945"/>
    <w:rsid w:val="002A3011"/>
    <w:rsid w:val="002B0317"/>
    <w:rsid w:val="002B664C"/>
    <w:rsid w:val="002E0C09"/>
    <w:rsid w:val="002E3554"/>
    <w:rsid w:val="002E37F4"/>
    <w:rsid w:val="002F0619"/>
    <w:rsid w:val="002F358F"/>
    <w:rsid w:val="00304C2C"/>
    <w:rsid w:val="00305255"/>
    <w:rsid w:val="003060D9"/>
    <w:rsid w:val="00330F60"/>
    <w:rsid w:val="00341029"/>
    <w:rsid w:val="00347374"/>
    <w:rsid w:val="003548F3"/>
    <w:rsid w:val="00366A1D"/>
    <w:rsid w:val="00371600"/>
    <w:rsid w:val="00376302"/>
    <w:rsid w:val="00381DCE"/>
    <w:rsid w:val="0038545E"/>
    <w:rsid w:val="00391B8C"/>
    <w:rsid w:val="00396DEA"/>
    <w:rsid w:val="003B127B"/>
    <w:rsid w:val="003C357C"/>
    <w:rsid w:val="003C415F"/>
    <w:rsid w:val="003E1413"/>
    <w:rsid w:val="003E253D"/>
    <w:rsid w:val="003F120F"/>
    <w:rsid w:val="003F24CC"/>
    <w:rsid w:val="003F3490"/>
    <w:rsid w:val="003F34D1"/>
    <w:rsid w:val="00402888"/>
    <w:rsid w:val="00404BFB"/>
    <w:rsid w:val="00405535"/>
    <w:rsid w:val="004055C2"/>
    <w:rsid w:val="00430E1B"/>
    <w:rsid w:val="00432CEC"/>
    <w:rsid w:val="004346D0"/>
    <w:rsid w:val="00437DB8"/>
    <w:rsid w:val="00472A39"/>
    <w:rsid w:val="00475CC9"/>
    <w:rsid w:val="00475FAD"/>
    <w:rsid w:val="004801A8"/>
    <w:rsid w:val="004A0A9B"/>
    <w:rsid w:val="004A12D2"/>
    <w:rsid w:val="004C2697"/>
    <w:rsid w:val="004E060E"/>
    <w:rsid w:val="004F5060"/>
    <w:rsid w:val="00510266"/>
    <w:rsid w:val="005237CE"/>
    <w:rsid w:val="00523A0B"/>
    <w:rsid w:val="005241A1"/>
    <w:rsid w:val="00526C2B"/>
    <w:rsid w:val="00534545"/>
    <w:rsid w:val="00536DAA"/>
    <w:rsid w:val="005552FE"/>
    <w:rsid w:val="005639DA"/>
    <w:rsid w:val="00572BED"/>
    <w:rsid w:val="00594228"/>
    <w:rsid w:val="00594344"/>
    <w:rsid w:val="005A1255"/>
    <w:rsid w:val="005A2413"/>
    <w:rsid w:val="005E46DC"/>
    <w:rsid w:val="006012D9"/>
    <w:rsid w:val="00605B62"/>
    <w:rsid w:val="006127E6"/>
    <w:rsid w:val="00613D60"/>
    <w:rsid w:val="006263FC"/>
    <w:rsid w:val="00637ABD"/>
    <w:rsid w:val="00637F89"/>
    <w:rsid w:val="00642C6E"/>
    <w:rsid w:val="0064571A"/>
    <w:rsid w:val="00647B00"/>
    <w:rsid w:val="00654DA5"/>
    <w:rsid w:val="00663E7C"/>
    <w:rsid w:val="006655C2"/>
    <w:rsid w:val="0067667A"/>
    <w:rsid w:val="0068424C"/>
    <w:rsid w:val="00685BED"/>
    <w:rsid w:val="006863B5"/>
    <w:rsid w:val="00686535"/>
    <w:rsid w:val="0069434C"/>
    <w:rsid w:val="00696FF7"/>
    <w:rsid w:val="006B2F5E"/>
    <w:rsid w:val="006D30AD"/>
    <w:rsid w:val="006E1D91"/>
    <w:rsid w:val="006E21DA"/>
    <w:rsid w:val="006E5006"/>
    <w:rsid w:val="006F3AA6"/>
    <w:rsid w:val="006F3BBF"/>
    <w:rsid w:val="00700641"/>
    <w:rsid w:val="00701F3B"/>
    <w:rsid w:val="00714D44"/>
    <w:rsid w:val="00714E8D"/>
    <w:rsid w:val="0072182C"/>
    <w:rsid w:val="0072761F"/>
    <w:rsid w:val="00731777"/>
    <w:rsid w:val="007532BC"/>
    <w:rsid w:val="00774C8C"/>
    <w:rsid w:val="007754CD"/>
    <w:rsid w:val="00776655"/>
    <w:rsid w:val="00783080"/>
    <w:rsid w:val="007A197D"/>
    <w:rsid w:val="007B2D5C"/>
    <w:rsid w:val="007B3F30"/>
    <w:rsid w:val="007C3497"/>
    <w:rsid w:val="007D58A0"/>
    <w:rsid w:val="007E6A4F"/>
    <w:rsid w:val="007E7580"/>
    <w:rsid w:val="007F03DD"/>
    <w:rsid w:val="008010EE"/>
    <w:rsid w:val="00805FB0"/>
    <w:rsid w:val="00814CD6"/>
    <w:rsid w:val="00851854"/>
    <w:rsid w:val="00851E83"/>
    <w:rsid w:val="00862DA7"/>
    <w:rsid w:val="00865630"/>
    <w:rsid w:val="00867B7F"/>
    <w:rsid w:val="008711E0"/>
    <w:rsid w:val="00874B4F"/>
    <w:rsid w:val="008A72EC"/>
    <w:rsid w:val="008A7F63"/>
    <w:rsid w:val="008C59E7"/>
    <w:rsid w:val="008D6B5F"/>
    <w:rsid w:val="008E642D"/>
    <w:rsid w:val="008F740C"/>
    <w:rsid w:val="00903DA5"/>
    <w:rsid w:val="00904940"/>
    <w:rsid w:val="009119DD"/>
    <w:rsid w:val="00915E5A"/>
    <w:rsid w:val="0091758C"/>
    <w:rsid w:val="00926C22"/>
    <w:rsid w:val="0093292A"/>
    <w:rsid w:val="00944AC4"/>
    <w:rsid w:val="00946CFF"/>
    <w:rsid w:val="00947890"/>
    <w:rsid w:val="00982F4C"/>
    <w:rsid w:val="00986A21"/>
    <w:rsid w:val="009A6CB6"/>
    <w:rsid w:val="009B0B51"/>
    <w:rsid w:val="009B7A82"/>
    <w:rsid w:val="009B7B23"/>
    <w:rsid w:val="009E7DE3"/>
    <w:rsid w:val="00A002B1"/>
    <w:rsid w:val="00A031FC"/>
    <w:rsid w:val="00A27AAF"/>
    <w:rsid w:val="00A406A2"/>
    <w:rsid w:val="00A519AB"/>
    <w:rsid w:val="00A56E2C"/>
    <w:rsid w:val="00A624F8"/>
    <w:rsid w:val="00A640CD"/>
    <w:rsid w:val="00A7445E"/>
    <w:rsid w:val="00A77336"/>
    <w:rsid w:val="00A82761"/>
    <w:rsid w:val="00A8688E"/>
    <w:rsid w:val="00AA0A1C"/>
    <w:rsid w:val="00AB2986"/>
    <w:rsid w:val="00AB4A8F"/>
    <w:rsid w:val="00AC4E57"/>
    <w:rsid w:val="00AD3298"/>
    <w:rsid w:val="00AE3617"/>
    <w:rsid w:val="00AE4056"/>
    <w:rsid w:val="00AE438C"/>
    <w:rsid w:val="00AE6F33"/>
    <w:rsid w:val="00AF1F59"/>
    <w:rsid w:val="00B00A76"/>
    <w:rsid w:val="00B20458"/>
    <w:rsid w:val="00B3081D"/>
    <w:rsid w:val="00B404AA"/>
    <w:rsid w:val="00B43649"/>
    <w:rsid w:val="00B44890"/>
    <w:rsid w:val="00B53F1B"/>
    <w:rsid w:val="00B92E70"/>
    <w:rsid w:val="00B971C6"/>
    <w:rsid w:val="00BA19E3"/>
    <w:rsid w:val="00BA5CB5"/>
    <w:rsid w:val="00BB1FD9"/>
    <w:rsid w:val="00BC3B54"/>
    <w:rsid w:val="00BD289C"/>
    <w:rsid w:val="00BD6A4E"/>
    <w:rsid w:val="00BE0BAC"/>
    <w:rsid w:val="00BF22AD"/>
    <w:rsid w:val="00BF4458"/>
    <w:rsid w:val="00C00B33"/>
    <w:rsid w:val="00C03FED"/>
    <w:rsid w:val="00C06AE1"/>
    <w:rsid w:val="00C214CB"/>
    <w:rsid w:val="00C30A2C"/>
    <w:rsid w:val="00C37DB1"/>
    <w:rsid w:val="00C90D3A"/>
    <w:rsid w:val="00CB7F23"/>
    <w:rsid w:val="00CC366C"/>
    <w:rsid w:val="00CC381B"/>
    <w:rsid w:val="00CE06B3"/>
    <w:rsid w:val="00CE0DD3"/>
    <w:rsid w:val="00CE2CE0"/>
    <w:rsid w:val="00CE3040"/>
    <w:rsid w:val="00CF2295"/>
    <w:rsid w:val="00CF26F3"/>
    <w:rsid w:val="00D06284"/>
    <w:rsid w:val="00D20335"/>
    <w:rsid w:val="00D2250E"/>
    <w:rsid w:val="00D34AC3"/>
    <w:rsid w:val="00D351C1"/>
    <w:rsid w:val="00D477FD"/>
    <w:rsid w:val="00D86CA5"/>
    <w:rsid w:val="00D916FB"/>
    <w:rsid w:val="00D95D94"/>
    <w:rsid w:val="00DB3423"/>
    <w:rsid w:val="00DB6FF7"/>
    <w:rsid w:val="00DC22E5"/>
    <w:rsid w:val="00DD19B8"/>
    <w:rsid w:val="00DD3054"/>
    <w:rsid w:val="00E12B5B"/>
    <w:rsid w:val="00E2014D"/>
    <w:rsid w:val="00E231CE"/>
    <w:rsid w:val="00E31F73"/>
    <w:rsid w:val="00E369C9"/>
    <w:rsid w:val="00E42F76"/>
    <w:rsid w:val="00E47E97"/>
    <w:rsid w:val="00E67A7E"/>
    <w:rsid w:val="00E72E7B"/>
    <w:rsid w:val="00E75491"/>
    <w:rsid w:val="00EA2CD1"/>
    <w:rsid w:val="00EB369A"/>
    <w:rsid w:val="00EC546F"/>
    <w:rsid w:val="00ED250F"/>
    <w:rsid w:val="00ED4DC1"/>
    <w:rsid w:val="00EE1349"/>
    <w:rsid w:val="00EE4230"/>
    <w:rsid w:val="00EE666F"/>
    <w:rsid w:val="00EF1B0A"/>
    <w:rsid w:val="00EF5313"/>
    <w:rsid w:val="00F011F3"/>
    <w:rsid w:val="00F04912"/>
    <w:rsid w:val="00F24D5F"/>
    <w:rsid w:val="00F35127"/>
    <w:rsid w:val="00F41484"/>
    <w:rsid w:val="00F47D81"/>
    <w:rsid w:val="00F5309D"/>
    <w:rsid w:val="00F56044"/>
    <w:rsid w:val="00F6401F"/>
    <w:rsid w:val="00F66E56"/>
    <w:rsid w:val="00F71417"/>
    <w:rsid w:val="00F7174B"/>
    <w:rsid w:val="00F77A42"/>
    <w:rsid w:val="00F77DB0"/>
    <w:rsid w:val="00F83086"/>
    <w:rsid w:val="00F857C8"/>
    <w:rsid w:val="00FA0A64"/>
    <w:rsid w:val="00FA10EE"/>
    <w:rsid w:val="00FA3E5E"/>
    <w:rsid w:val="00FA61EF"/>
    <w:rsid w:val="00FA70AF"/>
    <w:rsid w:val="00FB21FA"/>
    <w:rsid w:val="00FB3A06"/>
    <w:rsid w:val="00FB7151"/>
    <w:rsid w:val="00FC36AD"/>
    <w:rsid w:val="00FC7246"/>
    <w:rsid w:val="00FD0E3F"/>
    <w:rsid w:val="00FD64A9"/>
    <w:rsid w:val="00FE179B"/>
    <w:rsid w:val="00FE6922"/>
    <w:rsid w:val="00FE7B3A"/>
    <w:rsid w:val="00FF19DA"/>
    <w:rsid w:val="00FF4607"/>
    <w:rsid w:val="03C0FF11"/>
    <w:rsid w:val="03CB92DE"/>
    <w:rsid w:val="03EF2492"/>
    <w:rsid w:val="083ED839"/>
    <w:rsid w:val="0892F741"/>
    <w:rsid w:val="0B4A3B98"/>
    <w:rsid w:val="0B7C9962"/>
    <w:rsid w:val="0EFDB1B8"/>
    <w:rsid w:val="118D4884"/>
    <w:rsid w:val="149F46C7"/>
    <w:rsid w:val="19D4A9F9"/>
    <w:rsid w:val="1AF67596"/>
    <w:rsid w:val="1CC60DB1"/>
    <w:rsid w:val="1D6C7F2E"/>
    <w:rsid w:val="202244DE"/>
    <w:rsid w:val="24606F2A"/>
    <w:rsid w:val="249EAF0C"/>
    <w:rsid w:val="253B1BA5"/>
    <w:rsid w:val="2A26F3BF"/>
    <w:rsid w:val="2ABB285C"/>
    <w:rsid w:val="2B0B5594"/>
    <w:rsid w:val="301AA606"/>
    <w:rsid w:val="31B42D1C"/>
    <w:rsid w:val="322BE044"/>
    <w:rsid w:val="346939D7"/>
    <w:rsid w:val="36C01156"/>
    <w:rsid w:val="3BC4947F"/>
    <w:rsid w:val="3C8072EE"/>
    <w:rsid w:val="3D036EE4"/>
    <w:rsid w:val="3E109D15"/>
    <w:rsid w:val="3F6C2026"/>
    <w:rsid w:val="40939494"/>
    <w:rsid w:val="41057420"/>
    <w:rsid w:val="45D0D47C"/>
    <w:rsid w:val="45FA9961"/>
    <w:rsid w:val="471E49E4"/>
    <w:rsid w:val="4AFD3991"/>
    <w:rsid w:val="4D7B2DEF"/>
    <w:rsid w:val="4EAD49CC"/>
    <w:rsid w:val="4EE63BC5"/>
    <w:rsid w:val="4FD8F492"/>
    <w:rsid w:val="524B95AB"/>
    <w:rsid w:val="52EA34AC"/>
    <w:rsid w:val="53CB5F83"/>
    <w:rsid w:val="583067C0"/>
    <w:rsid w:val="5DAEBE88"/>
    <w:rsid w:val="613FDB60"/>
    <w:rsid w:val="6142C6FB"/>
    <w:rsid w:val="61599FF5"/>
    <w:rsid w:val="65810120"/>
    <w:rsid w:val="65CA6A2B"/>
    <w:rsid w:val="66045067"/>
    <w:rsid w:val="67A1E321"/>
    <w:rsid w:val="68BA0D42"/>
    <w:rsid w:val="68D8E3F1"/>
    <w:rsid w:val="6A1A9452"/>
    <w:rsid w:val="6AA80C55"/>
    <w:rsid w:val="6E784127"/>
    <w:rsid w:val="7416E135"/>
    <w:rsid w:val="753051FD"/>
    <w:rsid w:val="76AE12F8"/>
    <w:rsid w:val="77560178"/>
    <w:rsid w:val="7D83EE92"/>
    <w:rsid w:val="7DA394E7"/>
    <w:rsid w:val="7DEF470B"/>
    <w:rsid w:val="7EF98ADC"/>
    <w:rsid w:val="7F208A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917CAD"/>
  <w15:chartTrackingRefBased/>
  <w15:docId w15:val="{9532439A-DFE5-4142-94DC-0A35B1391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3"/>
    <w:qFormat/>
    <w:rsid w:val="00F83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F83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086"/>
    <w:rPr>
      <w:rFonts w:eastAsiaTheme="majorEastAsia" w:cstheme="majorBidi"/>
      <w:color w:val="272727" w:themeColor="text1" w:themeTint="D8"/>
    </w:rPr>
  </w:style>
  <w:style w:type="paragraph" w:styleId="Title">
    <w:name w:val="Title"/>
    <w:basedOn w:val="Normal"/>
    <w:next w:val="Normal"/>
    <w:link w:val="TitleChar"/>
    <w:uiPriority w:val="10"/>
    <w:qFormat/>
    <w:rsid w:val="00F83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086"/>
    <w:pPr>
      <w:spacing w:before="160"/>
      <w:jc w:val="center"/>
    </w:pPr>
    <w:rPr>
      <w:i/>
      <w:iCs/>
      <w:color w:val="404040" w:themeColor="text1" w:themeTint="BF"/>
    </w:rPr>
  </w:style>
  <w:style w:type="character" w:customStyle="1" w:styleId="QuoteChar">
    <w:name w:val="Quote Char"/>
    <w:basedOn w:val="DefaultParagraphFont"/>
    <w:link w:val="Quote"/>
    <w:uiPriority w:val="29"/>
    <w:rsid w:val="00F83086"/>
    <w:rPr>
      <w:i/>
      <w:iCs/>
      <w:color w:val="404040" w:themeColor="text1" w:themeTint="BF"/>
    </w:rPr>
  </w:style>
  <w:style w:type="paragraph" w:styleId="ListParagraph">
    <w:name w:val="List Paragraph"/>
    <w:basedOn w:val="Normal"/>
    <w:uiPriority w:val="34"/>
    <w:qFormat/>
    <w:rsid w:val="00F83086"/>
    <w:pPr>
      <w:ind w:left="720"/>
      <w:contextualSpacing/>
    </w:pPr>
  </w:style>
  <w:style w:type="character" w:styleId="IntenseEmphasis">
    <w:name w:val="Intense Emphasis"/>
    <w:basedOn w:val="DefaultParagraphFont"/>
    <w:uiPriority w:val="21"/>
    <w:qFormat/>
    <w:rsid w:val="00F83086"/>
    <w:rPr>
      <w:i/>
      <w:iCs/>
      <w:color w:val="0F4761" w:themeColor="accent1" w:themeShade="BF"/>
    </w:rPr>
  </w:style>
  <w:style w:type="paragraph" w:styleId="IntenseQuote">
    <w:name w:val="Intense Quote"/>
    <w:basedOn w:val="Normal"/>
    <w:next w:val="Normal"/>
    <w:link w:val="IntenseQuoteChar"/>
    <w:uiPriority w:val="30"/>
    <w:qFormat/>
    <w:rsid w:val="00F83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086"/>
    <w:rPr>
      <w:i/>
      <w:iCs/>
      <w:color w:val="0F4761" w:themeColor="accent1" w:themeShade="BF"/>
    </w:rPr>
  </w:style>
  <w:style w:type="character" w:styleId="IntenseReference">
    <w:name w:val="Intense Reference"/>
    <w:basedOn w:val="DefaultParagraphFont"/>
    <w:uiPriority w:val="32"/>
    <w:qFormat/>
    <w:rsid w:val="00F83086"/>
    <w:rPr>
      <w:b/>
      <w:bCs/>
      <w:smallCaps/>
      <w:color w:val="0F4761" w:themeColor="accent1" w:themeShade="BF"/>
      <w:spacing w:val="5"/>
    </w:rPr>
  </w:style>
  <w:style w:type="table" w:styleId="TableGrid">
    <w:name w:val="Table Grid"/>
    <w:basedOn w:val="TableNormal"/>
    <w:uiPriority w:val="39"/>
    <w:rsid w:val="00F83086"/>
    <w:pPr>
      <w:spacing w:after="0" w:line="240" w:lineRule="auto"/>
    </w:pPr>
    <w:tblPr/>
  </w:style>
  <w:style w:type="paragraph" w:styleId="Footer">
    <w:name w:val="footer"/>
    <w:basedOn w:val="Normal"/>
    <w:link w:val="FooterChar"/>
    <w:uiPriority w:val="99"/>
    <w:unhideWhenUsed/>
    <w:rsid w:val="004055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5C2"/>
  </w:style>
  <w:style w:type="character" w:styleId="Hyperlink">
    <w:name w:val="Hyperlink"/>
    <w:basedOn w:val="DefaultParagraphFont"/>
    <w:uiPriority w:val="99"/>
    <w:unhideWhenUsed/>
    <w:rsid w:val="00FA70AF"/>
    <w:rPr>
      <w:color w:val="467886" w:themeColor="hyperlink"/>
      <w:u w:val="single"/>
    </w:rPr>
  </w:style>
  <w:style w:type="paragraph" w:styleId="Header">
    <w:name w:val="header"/>
    <w:basedOn w:val="Normal"/>
    <w:link w:val="HeaderChar"/>
    <w:uiPriority w:val="99"/>
    <w:unhideWhenUsed/>
    <w:rsid w:val="006842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24C"/>
  </w:style>
  <w:style w:type="paragraph" w:styleId="Revision">
    <w:name w:val="Revision"/>
    <w:hidden/>
    <w:uiPriority w:val="99"/>
    <w:semiHidden/>
    <w:rsid w:val="002A2945"/>
    <w:pPr>
      <w:spacing w:after="0" w:line="240" w:lineRule="auto"/>
    </w:pPr>
  </w:style>
  <w:style w:type="character" w:styleId="CommentReference">
    <w:name w:val="annotation reference"/>
    <w:basedOn w:val="DefaultParagraphFont"/>
    <w:uiPriority w:val="99"/>
    <w:semiHidden/>
    <w:unhideWhenUsed/>
    <w:rsid w:val="00341029"/>
    <w:rPr>
      <w:sz w:val="16"/>
      <w:szCs w:val="16"/>
    </w:rPr>
  </w:style>
  <w:style w:type="paragraph" w:styleId="CommentText">
    <w:name w:val="annotation text"/>
    <w:basedOn w:val="Normal"/>
    <w:link w:val="CommentTextChar"/>
    <w:uiPriority w:val="99"/>
    <w:unhideWhenUsed/>
    <w:rsid w:val="00341029"/>
    <w:pPr>
      <w:spacing w:line="240" w:lineRule="auto"/>
    </w:pPr>
    <w:rPr>
      <w:sz w:val="20"/>
      <w:szCs w:val="20"/>
    </w:rPr>
  </w:style>
  <w:style w:type="character" w:customStyle="1" w:styleId="CommentTextChar">
    <w:name w:val="Comment Text Char"/>
    <w:basedOn w:val="DefaultParagraphFont"/>
    <w:link w:val="CommentText"/>
    <w:uiPriority w:val="99"/>
    <w:rsid w:val="00341029"/>
    <w:rPr>
      <w:sz w:val="20"/>
      <w:szCs w:val="20"/>
    </w:rPr>
  </w:style>
  <w:style w:type="paragraph" w:styleId="CommentSubject">
    <w:name w:val="annotation subject"/>
    <w:basedOn w:val="CommentText"/>
    <w:next w:val="CommentText"/>
    <w:link w:val="CommentSubjectChar"/>
    <w:uiPriority w:val="99"/>
    <w:semiHidden/>
    <w:unhideWhenUsed/>
    <w:rsid w:val="00341029"/>
    <w:rPr>
      <w:b/>
      <w:bCs/>
    </w:rPr>
  </w:style>
  <w:style w:type="character" w:customStyle="1" w:styleId="CommentSubjectChar">
    <w:name w:val="Comment Subject Char"/>
    <w:basedOn w:val="CommentTextChar"/>
    <w:link w:val="CommentSubject"/>
    <w:uiPriority w:val="99"/>
    <w:semiHidden/>
    <w:rsid w:val="003410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19194">
      <w:bodyDiv w:val="1"/>
      <w:marLeft w:val="0"/>
      <w:marRight w:val="0"/>
      <w:marTop w:val="0"/>
      <w:marBottom w:val="0"/>
      <w:divBdr>
        <w:top w:val="none" w:sz="0" w:space="0" w:color="auto"/>
        <w:left w:val="none" w:sz="0" w:space="0" w:color="auto"/>
        <w:bottom w:val="none" w:sz="0" w:space="0" w:color="auto"/>
        <w:right w:val="none" w:sz="0" w:space="0" w:color="auto"/>
      </w:divBdr>
      <w:divsChild>
        <w:div w:id="1467237623">
          <w:marLeft w:val="0"/>
          <w:marRight w:val="0"/>
          <w:marTop w:val="0"/>
          <w:marBottom w:val="0"/>
          <w:divBdr>
            <w:top w:val="none" w:sz="0" w:space="0" w:color="auto"/>
            <w:left w:val="none" w:sz="0" w:space="0" w:color="auto"/>
            <w:bottom w:val="none" w:sz="0" w:space="0" w:color="auto"/>
            <w:right w:val="none" w:sz="0" w:space="0" w:color="auto"/>
          </w:divBdr>
        </w:div>
        <w:div w:id="1593051195">
          <w:marLeft w:val="0"/>
          <w:marRight w:val="0"/>
          <w:marTop w:val="0"/>
          <w:marBottom w:val="0"/>
          <w:divBdr>
            <w:top w:val="none" w:sz="0" w:space="0" w:color="auto"/>
            <w:left w:val="none" w:sz="0" w:space="0" w:color="auto"/>
            <w:bottom w:val="none" w:sz="0" w:space="0" w:color="auto"/>
            <w:right w:val="none" w:sz="0" w:space="0" w:color="auto"/>
          </w:divBdr>
        </w:div>
      </w:divsChild>
    </w:div>
    <w:div w:id="1709909342">
      <w:bodyDiv w:val="1"/>
      <w:marLeft w:val="0"/>
      <w:marRight w:val="0"/>
      <w:marTop w:val="0"/>
      <w:marBottom w:val="0"/>
      <w:divBdr>
        <w:top w:val="none" w:sz="0" w:space="0" w:color="auto"/>
        <w:left w:val="none" w:sz="0" w:space="0" w:color="auto"/>
        <w:bottom w:val="none" w:sz="0" w:space="0" w:color="auto"/>
        <w:right w:val="none" w:sz="0" w:space="0" w:color="auto"/>
      </w:divBdr>
      <w:divsChild>
        <w:div w:id="793602596">
          <w:marLeft w:val="0"/>
          <w:marRight w:val="0"/>
          <w:marTop w:val="0"/>
          <w:marBottom w:val="0"/>
          <w:divBdr>
            <w:top w:val="none" w:sz="0" w:space="0" w:color="auto"/>
            <w:left w:val="none" w:sz="0" w:space="0" w:color="auto"/>
            <w:bottom w:val="none" w:sz="0" w:space="0" w:color="auto"/>
            <w:right w:val="none" w:sz="0" w:space="0" w:color="auto"/>
          </w:divBdr>
        </w:div>
        <w:div w:id="2123644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9643D936D4E47A5342714938B2A20" ma:contentTypeVersion="15" ma:contentTypeDescription="Create a new document." ma:contentTypeScope="" ma:versionID="3731656ddc70ecdb08b3d44daeeef6cb">
  <xsd:schema xmlns:xsd="http://www.w3.org/2001/XMLSchema" xmlns:xs="http://www.w3.org/2001/XMLSchema" xmlns:p="http://schemas.microsoft.com/office/2006/metadata/properties" xmlns:ns2="64a9b943-778c-4da0-895c-1de9f18f38e7" xmlns:ns3="c4a1bbe1-1e68-4741-8027-d71b7a42596c" targetNamespace="http://schemas.microsoft.com/office/2006/metadata/properties" ma:root="true" ma:fieldsID="af4776d3ac96fbb514e2c245ccb38da6" ns2:_="" ns3:_="">
    <xsd:import namespace="64a9b943-778c-4da0-895c-1de9f18f38e7"/>
    <xsd:import namespace="c4a1bbe1-1e68-4741-8027-d71b7a42596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Status" minOccurs="0"/>
                <xsd:element ref="ns3:_Flow_SignoffStatus"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a9b943-778c-4da0-895c-1de9f18f38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a1bbe1-1e68-4741-8027-d71b7a4259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5" nillable="true" ma:displayName="Status" ma:format="Dropdown" ma:internalName="Status">
      <xsd:simpleType>
        <xsd:restriction base="dms:Choice">
          <xsd:enumeration value="Draft"/>
          <xsd:enumeration value="Revision"/>
          <xsd:enumeration value="Choice 3"/>
        </xsd:restriction>
      </xsd:simpleType>
    </xsd:element>
    <xsd:element name="_Flow_SignoffStatus" ma:index="16" nillable="true" ma:displayName="Sign-off status" ma:internalName="Sign_x002d_off_x0020_status">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8cdee2-a078-4dcf-a938-a5ffeea6d2ec"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tatus xmlns="c4a1bbe1-1e68-4741-8027-d71b7a42596c" xsi:nil="true"/>
    <_Flow_SignoffStatus xmlns="c4a1bbe1-1e68-4741-8027-d71b7a42596c" xsi:nil="true"/>
    <lcf76f155ced4ddcb4097134ff3c332f xmlns="c4a1bbe1-1e68-4741-8027-d71b7a42596c">
      <Terms xmlns="http://schemas.microsoft.com/office/infopath/2007/PartnerControls"/>
    </lcf76f155ced4ddcb4097134ff3c332f>
    <_dlc_DocId xmlns="64a9b943-778c-4da0-895c-1de9f18f38e7">CDMJRFZTTNCX-1387811459-6259</_dlc_DocId>
    <_dlc_DocIdUrl xmlns="64a9b943-778c-4da0-895c-1de9f18f38e7">
      <Url>https://abgov.sharepoint.com/sites/S500D20-PAB/_layouts/15/DocIdRedir.aspx?ID=CDMJRFZTTNCX-1387811459-6259</Url>
      <Description>CDMJRFZTTNCX-1387811459-6259</Description>
    </_dlc_DocIdUrl>
  </documentManagement>
</p:properties>
</file>

<file path=customXml/itemProps1.xml><?xml version="1.0" encoding="utf-8"?>
<ds:datastoreItem xmlns:ds="http://schemas.openxmlformats.org/officeDocument/2006/customXml" ds:itemID="{914E85DA-96E5-4DA2-A8EB-964A43374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a9b943-778c-4da0-895c-1de9f18f38e7"/>
    <ds:schemaRef ds:uri="c4a1bbe1-1e68-4741-8027-d71b7a4259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0CFF18-D3B4-4A60-8E56-3E809E62EC7A}">
  <ds:schemaRefs>
    <ds:schemaRef ds:uri="http://schemas.openxmlformats.org/officeDocument/2006/bibliography"/>
  </ds:schemaRefs>
</ds:datastoreItem>
</file>

<file path=customXml/itemProps3.xml><?xml version="1.0" encoding="utf-8"?>
<ds:datastoreItem xmlns:ds="http://schemas.openxmlformats.org/officeDocument/2006/customXml" ds:itemID="{7F28846C-9E9C-41AA-AADB-897370685FFB}">
  <ds:schemaRefs>
    <ds:schemaRef ds:uri="http://schemas.microsoft.com/sharepoint/events"/>
  </ds:schemaRefs>
</ds:datastoreItem>
</file>

<file path=customXml/itemProps4.xml><?xml version="1.0" encoding="utf-8"?>
<ds:datastoreItem xmlns:ds="http://schemas.openxmlformats.org/officeDocument/2006/customXml" ds:itemID="{D06348D6-177A-4A33-9547-1DCDBD742B64}">
  <ds:schemaRefs>
    <ds:schemaRef ds:uri="http://schemas.microsoft.com/sharepoint/v3/contenttype/forms"/>
  </ds:schemaRefs>
</ds:datastoreItem>
</file>

<file path=customXml/itemProps5.xml><?xml version="1.0" encoding="utf-8"?>
<ds:datastoreItem xmlns:ds="http://schemas.openxmlformats.org/officeDocument/2006/customXml" ds:itemID="{D9333A53-6203-4832-87FB-3F71A09E56C4}">
  <ds:schemaRefs>
    <ds:schemaRef ds:uri="http://schemas.microsoft.com/office/2006/metadata/properties"/>
    <ds:schemaRef ds:uri="http://schemas.microsoft.com/office/infopath/2007/PartnerControls"/>
    <ds:schemaRef ds:uri="c4a1bbe1-1e68-4741-8027-d71b7a42596c"/>
    <ds:schemaRef ds:uri="64a9b943-778c-4da0-895c-1de9f18f38e7"/>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Government of Alberta</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FS_Records Available Without an Access Request</dc:title>
  <dc:subject>Fact Sheet Records Available Without an Access Request Access to Information Act</dc:subject>
  <dc:creator>Government of Alberta</dc:creator>
  <cp:keywords>Security Classification - PUBLIC</cp:keywords>
  <dc:description/>
  <dcterms:created xsi:type="dcterms:W3CDTF">2026-01-07T15:17:00Z</dcterms:created>
  <dcterms:modified xsi:type="dcterms:W3CDTF">2026-01-07T15:22:00Z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461d834b,3279e4e1,2f5703cd</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ContentTypeId">
    <vt:lpwstr>0x010100A799643D936D4E47A5342714938B2A20</vt:lpwstr>
  </property>
  <property fmtid="{D5CDD505-2E9C-101B-9397-08002B2CF9AE}" pid="6" name="h5c22b25fd914590af6f7504dd8d5e82">
    <vt:lpwstr>No|7a3957b4-6333-4b3f-aca5-11043f0480fb</vt:lpwstr>
  </property>
  <property fmtid="{D5CDD505-2E9C-101B-9397-08002B2CF9AE}" pid="7" name="TaxCatchAll">
    <vt:lpwstr>1;#No|7a3957b4-6333-4b3f-aca5-11043f0480fb</vt:lpwstr>
  </property>
  <property fmtid="{D5CDD505-2E9C-101B-9397-08002B2CF9AE}" pid="8" name="_dlc_DocIdItemGuid">
    <vt:lpwstr>ef1ed7da-b1ee-4e8d-b333-16fa31980d3b</vt:lpwstr>
  </property>
  <property fmtid="{D5CDD505-2E9C-101B-9397-08002B2CF9AE}" pid="9" name="MediaServiceImageTags">
    <vt:lpwstr/>
  </property>
  <property fmtid="{D5CDD505-2E9C-101B-9397-08002B2CF9AE}" pid="10" name="e4e1391327164fcf9b36427592ef5372">
    <vt:lpwstr/>
  </property>
  <property fmtid="{D5CDD505-2E9C-101B-9397-08002B2CF9AE}" pid="11" name="iec6cfa028bf4e91bd7258a6733aefa5">
    <vt:lpwstr/>
  </property>
  <property fmtid="{D5CDD505-2E9C-101B-9397-08002B2CF9AE}" pid="12" name="Organization_x0020_GoA">
    <vt:lpwstr/>
  </property>
  <property fmtid="{D5CDD505-2E9C-101B-9397-08002B2CF9AE}" pid="13" name="Document_x0020_Type_x0020_GoA">
    <vt:lpwstr/>
  </property>
  <property fmtid="{D5CDD505-2E9C-101B-9397-08002B2CF9AE}" pid="14" name="Function_x0020_GoA">
    <vt:lpwstr/>
  </property>
  <property fmtid="{D5CDD505-2E9C-101B-9397-08002B2CF9AE}" pid="15" name="b10e50595339447db3b0d16aff0e3d79">
    <vt:lpwstr/>
  </property>
  <property fmtid="{D5CDD505-2E9C-101B-9397-08002B2CF9AE}" pid="16" name="Closure_x0020_Criteria_x0020_Met">
    <vt:lpwstr>1;#No|7a3957b4-6333-4b3f-aca5-11043f0480fb</vt:lpwstr>
  </property>
  <property fmtid="{D5CDD505-2E9C-101B-9397-08002B2CF9AE}" pid="17" name="Status_x0020_GoA">
    <vt:lpwstr/>
  </property>
  <property fmtid="{D5CDD505-2E9C-101B-9397-08002B2CF9AE}" pid="18" name="e14f78495b6d4881b0a4f259bbfaac0a">
    <vt:lpwstr/>
  </property>
  <property fmtid="{D5CDD505-2E9C-101B-9397-08002B2CF9AE}" pid="19" name="Status GoA">
    <vt:lpwstr/>
  </property>
  <property fmtid="{D5CDD505-2E9C-101B-9397-08002B2CF9AE}" pid="20" name="Closure Criteria Met">
    <vt:lpwstr>1;#No|7a3957b4-6333-4b3f-aca5-11043f0480fb</vt:lpwstr>
  </property>
  <property fmtid="{D5CDD505-2E9C-101B-9397-08002B2CF9AE}" pid="21" name="Function GoA">
    <vt:lpwstr/>
  </property>
  <property fmtid="{D5CDD505-2E9C-101B-9397-08002B2CF9AE}" pid="22" name="Organization GoA">
    <vt:lpwstr/>
  </property>
  <property fmtid="{D5CDD505-2E9C-101B-9397-08002B2CF9AE}" pid="23" name="Document Type GoA">
    <vt:lpwstr/>
  </property>
  <property fmtid="{D5CDD505-2E9C-101B-9397-08002B2CF9AE}" pid="24" name="docLang">
    <vt:lpwstr>en</vt:lpwstr>
  </property>
  <property fmtid="{D5CDD505-2E9C-101B-9397-08002B2CF9AE}" pid="25" name="MSIP_Label_defa4170-0d19-0005-0004-bc88714345d2_Enabled">
    <vt:lpwstr>true</vt:lpwstr>
  </property>
  <property fmtid="{D5CDD505-2E9C-101B-9397-08002B2CF9AE}" pid="26" name="MSIP_Label_defa4170-0d19-0005-0004-bc88714345d2_SetDate">
    <vt:lpwstr>2025-10-27T18:34:38Z</vt:lpwstr>
  </property>
  <property fmtid="{D5CDD505-2E9C-101B-9397-08002B2CF9AE}" pid="27" name="MSIP_Label_defa4170-0d19-0005-0004-bc88714345d2_Method">
    <vt:lpwstr>Standard</vt:lpwstr>
  </property>
  <property fmtid="{D5CDD505-2E9C-101B-9397-08002B2CF9AE}" pid="28" name="MSIP_Label_defa4170-0d19-0005-0004-bc88714345d2_Name">
    <vt:lpwstr>defa4170-0d19-0005-0004-bc88714345d2</vt:lpwstr>
  </property>
  <property fmtid="{D5CDD505-2E9C-101B-9397-08002B2CF9AE}" pid="29" name="MSIP_Label_defa4170-0d19-0005-0004-bc88714345d2_SiteId">
    <vt:lpwstr>697c94c7-4045-438f-ba38-311454171aae</vt:lpwstr>
  </property>
  <property fmtid="{D5CDD505-2E9C-101B-9397-08002B2CF9AE}" pid="30" name="MSIP_Label_defa4170-0d19-0005-0004-bc88714345d2_ActionId">
    <vt:lpwstr>e6fb5e62-4e58-433f-88dd-94c00437ba3f</vt:lpwstr>
  </property>
  <property fmtid="{D5CDD505-2E9C-101B-9397-08002B2CF9AE}" pid="31" name="MSIP_Label_defa4170-0d19-0005-0004-bc88714345d2_ContentBits">
    <vt:lpwstr>0</vt:lpwstr>
  </property>
  <property fmtid="{D5CDD505-2E9C-101B-9397-08002B2CF9AE}" pid="32" name="MSIP_Label_defa4170-0d19-0005-0004-bc88714345d2_Tag">
    <vt:lpwstr>10, 3, 0, 1</vt:lpwstr>
  </property>
  <property fmtid="{D5CDD505-2E9C-101B-9397-08002B2CF9AE}" pid="33" name="MSIP_Label_60c3ebf9-3c2f-4745-a75f-55836bdb736f_Enabled">
    <vt:lpwstr>true</vt:lpwstr>
  </property>
  <property fmtid="{D5CDD505-2E9C-101B-9397-08002B2CF9AE}" pid="34" name="MSIP_Label_60c3ebf9-3c2f-4745-a75f-55836bdb736f_SetDate">
    <vt:lpwstr>2026-01-07T15:17:13Z</vt:lpwstr>
  </property>
  <property fmtid="{D5CDD505-2E9C-101B-9397-08002B2CF9AE}" pid="35" name="MSIP_Label_60c3ebf9-3c2f-4745-a75f-55836bdb736f_Method">
    <vt:lpwstr>Privileged</vt:lpwstr>
  </property>
  <property fmtid="{D5CDD505-2E9C-101B-9397-08002B2CF9AE}" pid="36" name="MSIP_Label_60c3ebf9-3c2f-4745-a75f-55836bdb736f_Name">
    <vt:lpwstr>Public</vt:lpwstr>
  </property>
  <property fmtid="{D5CDD505-2E9C-101B-9397-08002B2CF9AE}" pid="37" name="MSIP_Label_60c3ebf9-3c2f-4745-a75f-55836bdb736f_SiteId">
    <vt:lpwstr>2bb51c06-af9b-42c5-8bf5-3c3b7b10850b</vt:lpwstr>
  </property>
  <property fmtid="{D5CDD505-2E9C-101B-9397-08002B2CF9AE}" pid="38" name="MSIP_Label_60c3ebf9-3c2f-4745-a75f-55836bdb736f_ActionId">
    <vt:lpwstr>2ee29cfa-9193-4d88-9463-42ebaac6dde7</vt:lpwstr>
  </property>
  <property fmtid="{D5CDD505-2E9C-101B-9397-08002B2CF9AE}" pid="39" name="MSIP_Label_60c3ebf9-3c2f-4745-a75f-55836bdb736f_ContentBits">
    <vt:lpwstr>2</vt:lpwstr>
  </property>
  <property fmtid="{D5CDD505-2E9C-101B-9397-08002B2CF9AE}" pid="40" name="MSIP_Label_60c3ebf9-3c2f-4745-a75f-55836bdb736f_Tag">
    <vt:lpwstr>10, 0, 1, 1</vt:lpwstr>
  </property>
</Properties>
</file>