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ECE" w:rsidRPr="00E65ECE" w:rsidRDefault="00E65ECE" w:rsidP="0045535C">
      <w:pPr>
        <w:pStyle w:val="Heading2"/>
        <w:ind w:left="540" w:hanging="540"/>
      </w:pPr>
      <w:bookmarkStart w:id="0" w:name="_Toc415675855"/>
      <w:bookmarkStart w:id="1" w:name="_Toc459025369"/>
      <w:bookmarkStart w:id="2" w:name="_Toc463354606"/>
      <w:bookmarkStart w:id="3" w:name="_Toc465397402"/>
      <w:bookmarkStart w:id="4" w:name="_Toc472332248"/>
      <w:bookmarkStart w:id="5" w:name="_Toc474487310"/>
      <w:bookmarkStart w:id="6" w:name="_Toc403468276"/>
      <w:bookmarkStart w:id="7" w:name="_GoBack"/>
      <w:bookmarkEnd w:id="7"/>
      <w:r w:rsidRPr="00E65ECE">
        <w:t>Restorative Sand Seal Treatment</w:t>
      </w:r>
      <w:bookmarkEnd w:id="0"/>
      <w:bookmarkEnd w:id="1"/>
      <w:bookmarkEnd w:id="2"/>
      <w:bookmarkEnd w:id="3"/>
      <w:bookmarkEnd w:id="4"/>
      <w:bookmarkEnd w:id="5"/>
      <w:r w:rsidRPr="00E65ECE">
        <w:t xml:space="preserve"> </w:t>
      </w:r>
      <w:bookmarkEnd w:id="6"/>
    </w:p>
    <w:p w:rsidR="00E65ECE" w:rsidRPr="00E65ECE" w:rsidRDefault="00E65ECE" w:rsidP="00E65ECE">
      <w:pPr>
        <w:jc w:val="both"/>
        <w:rPr>
          <w:sz w:val="22"/>
          <w:szCs w:val="22"/>
          <w:lang w:val="en-CA" w:eastAsia="en-US"/>
        </w:rPr>
      </w:pPr>
      <w:r w:rsidRPr="00E65ECE">
        <w:rPr>
          <w:sz w:val="22"/>
          <w:lang w:val="en-CA"/>
        </w:rPr>
        <w:t>The Contractor shall apply a restorative sand seal surface treatment consisting of a restorative asphalt emulsion and blotter sand according to the requirements of Specification 3.24 Chip Seal Coat with modifications as outlined in this special provision.</w:t>
      </w:r>
    </w:p>
    <w:p w:rsidR="00E65ECE" w:rsidRPr="00E65ECE" w:rsidRDefault="00E65ECE" w:rsidP="00E65ECE">
      <w:pPr>
        <w:numPr>
          <w:ilvl w:val="12"/>
          <w:numId w:val="0"/>
        </w:numPr>
        <w:jc w:val="both"/>
        <w:rPr>
          <w:rFonts w:cs="Arial"/>
          <w:sz w:val="22"/>
          <w:szCs w:val="22"/>
          <w:lang w:val="en-CA"/>
        </w:rPr>
      </w:pPr>
    </w:p>
    <w:p w:rsidR="00E65ECE" w:rsidRPr="00E65ECE" w:rsidRDefault="00E65ECE" w:rsidP="00E65ECE">
      <w:pPr>
        <w:pStyle w:val="Heading2"/>
        <w:ind w:left="1080" w:hanging="450"/>
      </w:pPr>
      <w:r w:rsidRPr="00E65ECE">
        <w:t>Asphalt</w:t>
      </w:r>
    </w:p>
    <w:p w:rsidR="00E65ECE" w:rsidRPr="00E65ECE" w:rsidRDefault="00E65ECE" w:rsidP="00E65ECE">
      <w:pPr>
        <w:jc w:val="both"/>
        <w:rPr>
          <w:sz w:val="22"/>
          <w:szCs w:val="22"/>
          <w:lang w:val="en-CA" w:eastAsia="en-US"/>
        </w:rPr>
      </w:pPr>
      <w:r w:rsidRPr="00E65ECE">
        <w:rPr>
          <w:sz w:val="22"/>
          <w:lang w:val="en-CA"/>
        </w:rPr>
        <w:t xml:space="preserve">The Contractor shall use a restorative asphalt emulsion as listed on the Alberta Transportation Products List under the </w:t>
      </w:r>
      <w:proofErr w:type="gramStart"/>
      <w:r w:rsidRPr="00E65ECE">
        <w:rPr>
          <w:sz w:val="22"/>
          <w:lang w:val="en-CA"/>
        </w:rPr>
        <w:t>Proven</w:t>
      </w:r>
      <w:proofErr w:type="gramEnd"/>
      <w:r w:rsidRPr="00E65ECE">
        <w:rPr>
          <w:sz w:val="22"/>
          <w:lang w:val="en-CA"/>
        </w:rPr>
        <w:t xml:space="preserve"> category for Surface Treatment – Asphalt (Proprietary).  The asphalt emulsion shall have rejuvenating characteristics as indicated by a high </w:t>
      </w:r>
      <w:proofErr w:type="spellStart"/>
      <w:r w:rsidRPr="00E65ECE">
        <w:rPr>
          <w:sz w:val="22"/>
          <w:lang w:val="en-CA"/>
        </w:rPr>
        <w:t>maltene</w:t>
      </w:r>
      <w:proofErr w:type="spellEnd"/>
      <w:r w:rsidRPr="00E65ECE">
        <w:rPr>
          <w:sz w:val="22"/>
          <w:lang w:val="en-CA"/>
        </w:rPr>
        <w:t xml:space="preserve"> composition.  A minimum two weeks prior to placement of the Sand Seal the Contractor shall provide to the Consultant the name, supplier and typical analysis of the restorative asphalt emulsion.</w:t>
      </w:r>
    </w:p>
    <w:p w:rsidR="00E65ECE" w:rsidRPr="00E65ECE" w:rsidRDefault="00E65ECE" w:rsidP="00E65ECE">
      <w:pPr>
        <w:jc w:val="both"/>
        <w:rPr>
          <w:sz w:val="22"/>
          <w:lang w:val="en-CA"/>
        </w:rPr>
      </w:pPr>
    </w:p>
    <w:p w:rsidR="00E65ECE" w:rsidRPr="00E65ECE" w:rsidRDefault="00E65ECE" w:rsidP="00E65ECE">
      <w:pPr>
        <w:jc w:val="both"/>
        <w:rPr>
          <w:sz w:val="22"/>
          <w:lang w:val="en-CA"/>
        </w:rPr>
      </w:pPr>
      <w:r w:rsidRPr="00E65ECE">
        <w:rPr>
          <w:sz w:val="22"/>
          <w:lang w:val="en-CA"/>
        </w:rPr>
        <w:t xml:space="preserve">The asphalt emulsion shall be diluted at a ratio of 2 parts emulsion to 1 part water or as recommended by the supplier.  The Contractor shall provide the Consultant a copy of all the supplier’s weigh bills and records of all restorative asphalt emulsion received and/or returned on a daily basis.  The Contractor shall follow the supplier’s recommended procedures for storing and handling of the asphalt emulsion </w:t>
      </w:r>
      <w:r w:rsidRPr="00E65ECE">
        <w:rPr>
          <w:rFonts w:cs="Arial"/>
          <w:sz w:val="22"/>
          <w:szCs w:val="22"/>
          <w:lang w:val="en-CA"/>
        </w:rPr>
        <w:t>on a daily basis.  The Contractor shall follow the supplier’s recommended procedures for storing and handling of the asphalt emulsion.</w:t>
      </w:r>
    </w:p>
    <w:p w:rsidR="00E65ECE" w:rsidRPr="00E65ECE" w:rsidRDefault="00E65ECE" w:rsidP="00E65ECE">
      <w:pPr>
        <w:pStyle w:val="Heading2"/>
        <w:ind w:left="1080" w:hanging="450"/>
        <w:rPr>
          <w:b w:val="0"/>
          <w:bCs w:val="0"/>
        </w:rPr>
      </w:pPr>
      <w:r w:rsidRPr="00E65ECE">
        <w:t>Aggregate</w:t>
      </w:r>
    </w:p>
    <w:p w:rsidR="00E65ECE" w:rsidRPr="00E65ECE" w:rsidRDefault="00E65ECE" w:rsidP="00E65ECE">
      <w:pPr>
        <w:jc w:val="both"/>
        <w:rPr>
          <w:sz w:val="22"/>
          <w:lang w:val="en-CA"/>
        </w:rPr>
      </w:pPr>
      <w:r w:rsidRPr="00E65ECE">
        <w:rPr>
          <w:sz w:val="22"/>
          <w:lang w:val="en-CA"/>
        </w:rPr>
        <w:t>The sand material shall be free of organics, contain no plastic fines and meet the following gradation requirements.</w:t>
      </w:r>
    </w:p>
    <w:p w:rsidR="00E65ECE" w:rsidRPr="00E65ECE" w:rsidRDefault="00E65ECE" w:rsidP="00E65ECE">
      <w:pPr>
        <w:jc w:val="both"/>
        <w:rPr>
          <w:sz w:val="22"/>
          <w:lang w:val="en-CA"/>
        </w:rPr>
      </w:pPr>
    </w:p>
    <w:tbl>
      <w:tblPr>
        <w:tblW w:w="0" w:type="auto"/>
        <w:jc w:val="center"/>
        <w:tblLayout w:type="fixed"/>
        <w:tblCellMar>
          <w:left w:w="100" w:type="dxa"/>
          <w:right w:w="100" w:type="dxa"/>
        </w:tblCellMar>
        <w:tblLook w:val="0000" w:firstRow="0" w:lastRow="0" w:firstColumn="0" w:lastColumn="0" w:noHBand="0" w:noVBand="0"/>
      </w:tblPr>
      <w:tblGrid>
        <w:gridCol w:w="1664"/>
        <w:gridCol w:w="3006"/>
      </w:tblGrid>
      <w:tr w:rsidR="00E65ECE" w:rsidRPr="00E65ECE" w:rsidTr="00450BDD">
        <w:trPr>
          <w:cantSplit/>
          <w:tblHeader/>
          <w:jc w:val="center"/>
        </w:trPr>
        <w:tc>
          <w:tcPr>
            <w:tcW w:w="1664" w:type="dxa"/>
            <w:tcBorders>
              <w:top w:val="single" w:sz="6" w:space="0" w:color="000000"/>
              <w:left w:val="single" w:sz="6" w:space="0" w:color="000000"/>
              <w:bottom w:val="single" w:sz="6" w:space="0" w:color="000000"/>
              <w:right w:val="nil"/>
            </w:tcBorders>
          </w:tcPr>
          <w:p w:rsidR="00E65ECE" w:rsidRPr="00E65ECE" w:rsidRDefault="00E65ECE" w:rsidP="00450BDD">
            <w:pPr>
              <w:numPr>
                <w:ilvl w:val="12"/>
                <w:numId w:val="0"/>
              </w:numPr>
              <w:jc w:val="center"/>
              <w:rPr>
                <w:rFonts w:cs="Arial"/>
                <w:szCs w:val="20"/>
                <w:lang w:val="en-CA"/>
              </w:rPr>
            </w:pPr>
            <w:r w:rsidRPr="00E65ECE">
              <w:rPr>
                <w:rFonts w:cs="Arial"/>
                <w:b/>
                <w:bCs/>
                <w:smallCaps/>
                <w:szCs w:val="20"/>
                <w:lang w:val="en-CA"/>
              </w:rPr>
              <w:t>Sieve Size (µm)</w:t>
            </w:r>
          </w:p>
        </w:tc>
        <w:tc>
          <w:tcPr>
            <w:tcW w:w="3006" w:type="dxa"/>
            <w:tcBorders>
              <w:top w:val="single" w:sz="6" w:space="0" w:color="000000"/>
              <w:left w:val="single" w:sz="6" w:space="0" w:color="000000"/>
              <w:bottom w:val="single" w:sz="6" w:space="0" w:color="000000"/>
              <w:right w:val="single" w:sz="6" w:space="0" w:color="000000"/>
            </w:tcBorders>
          </w:tcPr>
          <w:p w:rsidR="00E65ECE" w:rsidRPr="00E65ECE" w:rsidRDefault="00E65ECE" w:rsidP="00450BDD">
            <w:pPr>
              <w:numPr>
                <w:ilvl w:val="12"/>
                <w:numId w:val="0"/>
              </w:numPr>
              <w:jc w:val="center"/>
              <w:rPr>
                <w:rFonts w:cs="Arial"/>
                <w:szCs w:val="20"/>
                <w:lang w:val="en-CA"/>
              </w:rPr>
            </w:pPr>
            <w:r w:rsidRPr="00E65ECE">
              <w:rPr>
                <w:rFonts w:cs="Arial"/>
                <w:b/>
                <w:bCs/>
                <w:smallCaps/>
                <w:szCs w:val="20"/>
                <w:lang w:val="en-CA"/>
              </w:rPr>
              <w:t>Cumulative Percent Passing</w:t>
            </w:r>
          </w:p>
        </w:tc>
      </w:tr>
      <w:tr w:rsidR="00E65ECE" w:rsidRPr="00E65ECE" w:rsidTr="00450BDD">
        <w:trPr>
          <w:cantSplit/>
          <w:jc w:val="center"/>
        </w:trPr>
        <w:tc>
          <w:tcPr>
            <w:tcW w:w="1664" w:type="dxa"/>
            <w:tcBorders>
              <w:top w:val="single" w:sz="6" w:space="0" w:color="000000"/>
              <w:left w:val="single" w:sz="6" w:space="0" w:color="000000"/>
              <w:bottom w:val="single" w:sz="6" w:space="0" w:color="000000"/>
              <w:right w:val="nil"/>
            </w:tcBorders>
          </w:tcPr>
          <w:p w:rsidR="00E65ECE" w:rsidRPr="00E65ECE" w:rsidRDefault="00E65ECE" w:rsidP="00450BDD">
            <w:pPr>
              <w:numPr>
                <w:ilvl w:val="12"/>
                <w:numId w:val="0"/>
              </w:numPr>
              <w:jc w:val="center"/>
              <w:rPr>
                <w:rFonts w:cs="Arial"/>
                <w:szCs w:val="20"/>
                <w:lang w:val="en-CA"/>
              </w:rPr>
            </w:pPr>
            <w:r w:rsidRPr="00E65ECE">
              <w:rPr>
                <w:rFonts w:cs="Arial"/>
                <w:szCs w:val="20"/>
                <w:lang w:val="en-CA"/>
              </w:rPr>
              <w:t>5000</w:t>
            </w:r>
          </w:p>
        </w:tc>
        <w:tc>
          <w:tcPr>
            <w:tcW w:w="3006" w:type="dxa"/>
            <w:tcBorders>
              <w:top w:val="single" w:sz="6" w:space="0" w:color="000000"/>
              <w:left w:val="single" w:sz="6" w:space="0" w:color="000000"/>
              <w:bottom w:val="single" w:sz="6" w:space="0" w:color="000000"/>
              <w:right w:val="single" w:sz="6" w:space="0" w:color="000000"/>
            </w:tcBorders>
          </w:tcPr>
          <w:p w:rsidR="00E65ECE" w:rsidRPr="00E65ECE" w:rsidRDefault="00E65ECE" w:rsidP="00450BDD">
            <w:pPr>
              <w:numPr>
                <w:ilvl w:val="12"/>
                <w:numId w:val="0"/>
              </w:numPr>
              <w:jc w:val="center"/>
              <w:rPr>
                <w:rFonts w:cs="Arial"/>
                <w:szCs w:val="20"/>
                <w:lang w:val="en-CA"/>
              </w:rPr>
            </w:pPr>
            <w:r w:rsidRPr="00E65ECE">
              <w:rPr>
                <w:rFonts w:cs="Arial"/>
                <w:szCs w:val="20"/>
                <w:lang w:val="en-CA"/>
              </w:rPr>
              <w:t>100</w:t>
            </w:r>
          </w:p>
        </w:tc>
      </w:tr>
      <w:tr w:rsidR="00E65ECE" w:rsidRPr="00E65ECE" w:rsidTr="00450BDD">
        <w:trPr>
          <w:cantSplit/>
          <w:jc w:val="center"/>
        </w:trPr>
        <w:tc>
          <w:tcPr>
            <w:tcW w:w="1664" w:type="dxa"/>
            <w:tcBorders>
              <w:top w:val="single" w:sz="6" w:space="0" w:color="000000"/>
              <w:left w:val="single" w:sz="6" w:space="0" w:color="000000"/>
              <w:bottom w:val="nil"/>
              <w:right w:val="nil"/>
            </w:tcBorders>
          </w:tcPr>
          <w:p w:rsidR="00E65ECE" w:rsidRPr="00E65ECE" w:rsidRDefault="00E65ECE" w:rsidP="00450BDD">
            <w:pPr>
              <w:numPr>
                <w:ilvl w:val="12"/>
                <w:numId w:val="0"/>
              </w:numPr>
              <w:jc w:val="center"/>
              <w:rPr>
                <w:rFonts w:cs="Arial"/>
                <w:szCs w:val="20"/>
                <w:lang w:val="en-CA"/>
              </w:rPr>
            </w:pPr>
            <w:r w:rsidRPr="00E65ECE">
              <w:rPr>
                <w:rFonts w:cs="Arial"/>
                <w:szCs w:val="20"/>
                <w:lang w:val="en-CA"/>
              </w:rPr>
              <w:t>315</w:t>
            </w:r>
          </w:p>
        </w:tc>
        <w:tc>
          <w:tcPr>
            <w:tcW w:w="3006" w:type="dxa"/>
            <w:tcBorders>
              <w:top w:val="single" w:sz="6" w:space="0" w:color="000000"/>
              <w:left w:val="single" w:sz="6" w:space="0" w:color="000000"/>
              <w:bottom w:val="nil"/>
              <w:right w:val="single" w:sz="6" w:space="0" w:color="000000"/>
            </w:tcBorders>
          </w:tcPr>
          <w:p w:rsidR="00E65ECE" w:rsidRPr="00E65ECE" w:rsidRDefault="00E65ECE" w:rsidP="00450BDD">
            <w:pPr>
              <w:numPr>
                <w:ilvl w:val="12"/>
                <w:numId w:val="0"/>
              </w:numPr>
              <w:jc w:val="center"/>
              <w:rPr>
                <w:rFonts w:cs="Arial"/>
                <w:szCs w:val="20"/>
                <w:lang w:val="en-CA"/>
              </w:rPr>
            </w:pPr>
            <w:r w:rsidRPr="00E65ECE">
              <w:rPr>
                <w:rFonts w:cs="Arial"/>
                <w:szCs w:val="20"/>
                <w:lang w:val="en-CA"/>
              </w:rPr>
              <w:t>15 – 40</w:t>
            </w:r>
          </w:p>
        </w:tc>
      </w:tr>
      <w:tr w:rsidR="00E65ECE" w:rsidRPr="00E65ECE" w:rsidTr="00450BDD">
        <w:trPr>
          <w:cantSplit/>
          <w:jc w:val="center"/>
        </w:trPr>
        <w:tc>
          <w:tcPr>
            <w:tcW w:w="1664" w:type="dxa"/>
            <w:tcBorders>
              <w:top w:val="single" w:sz="6" w:space="0" w:color="000000"/>
              <w:left w:val="single" w:sz="6" w:space="0" w:color="000000"/>
              <w:bottom w:val="single" w:sz="6" w:space="0" w:color="000000"/>
              <w:right w:val="nil"/>
            </w:tcBorders>
          </w:tcPr>
          <w:p w:rsidR="00E65ECE" w:rsidRPr="00E65ECE" w:rsidRDefault="00E65ECE" w:rsidP="00450BDD">
            <w:pPr>
              <w:numPr>
                <w:ilvl w:val="12"/>
                <w:numId w:val="0"/>
              </w:numPr>
              <w:jc w:val="center"/>
              <w:rPr>
                <w:rFonts w:cs="Arial"/>
                <w:szCs w:val="20"/>
                <w:lang w:val="en-CA"/>
              </w:rPr>
            </w:pPr>
            <w:r w:rsidRPr="00E65ECE">
              <w:rPr>
                <w:rFonts w:cs="Arial"/>
                <w:szCs w:val="20"/>
                <w:lang w:val="en-CA"/>
              </w:rPr>
              <w:t>80</w:t>
            </w:r>
          </w:p>
        </w:tc>
        <w:tc>
          <w:tcPr>
            <w:tcW w:w="3006" w:type="dxa"/>
            <w:tcBorders>
              <w:top w:val="single" w:sz="6" w:space="0" w:color="000000"/>
              <w:left w:val="single" w:sz="6" w:space="0" w:color="000000"/>
              <w:bottom w:val="single" w:sz="6" w:space="0" w:color="000000"/>
              <w:right w:val="single" w:sz="6" w:space="0" w:color="000000"/>
            </w:tcBorders>
          </w:tcPr>
          <w:p w:rsidR="00E65ECE" w:rsidRPr="00E65ECE" w:rsidRDefault="00E65ECE" w:rsidP="00450BDD">
            <w:pPr>
              <w:numPr>
                <w:ilvl w:val="12"/>
                <w:numId w:val="0"/>
              </w:numPr>
              <w:jc w:val="center"/>
              <w:rPr>
                <w:rFonts w:cs="Arial"/>
                <w:szCs w:val="20"/>
                <w:lang w:val="en-CA"/>
              </w:rPr>
            </w:pPr>
            <w:r w:rsidRPr="00E65ECE">
              <w:rPr>
                <w:rFonts w:cs="Arial"/>
                <w:szCs w:val="20"/>
                <w:lang w:val="en-CA"/>
              </w:rPr>
              <w:t>0 – 2</w:t>
            </w:r>
          </w:p>
        </w:tc>
      </w:tr>
    </w:tbl>
    <w:p w:rsidR="00E65ECE" w:rsidRPr="00E65ECE" w:rsidRDefault="00E65ECE" w:rsidP="00E65ECE">
      <w:pPr>
        <w:pStyle w:val="Heading2"/>
        <w:ind w:left="1080" w:hanging="450"/>
        <w:rPr>
          <w:b w:val="0"/>
          <w:bCs w:val="0"/>
        </w:rPr>
      </w:pPr>
      <w:r w:rsidRPr="00E65ECE">
        <w:t>Placement</w:t>
      </w:r>
    </w:p>
    <w:p w:rsidR="00E65ECE" w:rsidRPr="00E65ECE" w:rsidRDefault="00E65ECE" w:rsidP="00E65ECE">
      <w:pPr>
        <w:jc w:val="both"/>
        <w:rPr>
          <w:rFonts w:cs="Arial"/>
          <w:sz w:val="22"/>
          <w:szCs w:val="22"/>
          <w:lang w:val="en-CA" w:eastAsia="en-US"/>
        </w:rPr>
      </w:pPr>
      <w:r w:rsidRPr="00E65ECE">
        <w:rPr>
          <w:rFonts w:cs="Arial"/>
          <w:sz w:val="22"/>
          <w:lang w:val="en-CA"/>
        </w:rPr>
        <w:t>A minimum of one week prior to placement of the Sand Seal the Contractor shall place a minimum of two test patches on the pavement to be seal coated using different application rates of emulsion ranging from approximately 0.35 l/m</w:t>
      </w:r>
      <w:r w:rsidRPr="00E65ECE">
        <w:rPr>
          <w:rFonts w:cs="Arial"/>
          <w:sz w:val="22"/>
          <w:vertAlign w:val="superscript"/>
          <w:lang w:val="en-CA"/>
        </w:rPr>
        <w:t>2</w:t>
      </w:r>
      <w:r w:rsidRPr="00E65ECE">
        <w:rPr>
          <w:rFonts w:cs="Arial"/>
          <w:sz w:val="22"/>
          <w:lang w:val="en-CA"/>
        </w:rPr>
        <w:t xml:space="preserve"> to 0.60 l/m</w:t>
      </w:r>
      <w:r w:rsidRPr="00E65ECE">
        <w:rPr>
          <w:rFonts w:cs="Arial"/>
          <w:sz w:val="22"/>
          <w:vertAlign w:val="superscript"/>
          <w:lang w:val="en-CA"/>
        </w:rPr>
        <w:t>2</w:t>
      </w:r>
      <w:r w:rsidRPr="00E65ECE">
        <w:rPr>
          <w:rFonts w:cs="Arial"/>
          <w:sz w:val="22"/>
          <w:lang w:val="en-CA"/>
        </w:rPr>
        <w:t>.  The sand material to be used for the Sand Seal shall be used on the test patches.  The Consultant and Contractor shall jointly evaluate the test patches a minimum of two days following placement to determine the optimum binder application rate.  The Contractor’s representative for placing and evaluating the test patches shall have previous experience in conducting this work.</w:t>
      </w:r>
    </w:p>
    <w:p w:rsidR="00E65ECE" w:rsidRPr="00E65ECE" w:rsidRDefault="00E65ECE" w:rsidP="00E65ECE">
      <w:pPr>
        <w:jc w:val="both"/>
        <w:rPr>
          <w:rFonts w:cs="Arial"/>
          <w:sz w:val="22"/>
          <w:lang w:val="en-CA"/>
        </w:rPr>
      </w:pPr>
    </w:p>
    <w:p w:rsidR="00E65ECE" w:rsidRPr="00E65ECE" w:rsidRDefault="00E65ECE" w:rsidP="00E65ECE">
      <w:pPr>
        <w:jc w:val="both"/>
        <w:rPr>
          <w:rFonts w:cs="Arial"/>
          <w:sz w:val="22"/>
          <w:lang w:val="en-CA"/>
        </w:rPr>
      </w:pPr>
      <w:r w:rsidRPr="00E65ECE">
        <w:rPr>
          <w:rFonts w:cs="Arial"/>
          <w:sz w:val="22"/>
          <w:lang w:val="en-CA"/>
        </w:rPr>
        <w:t xml:space="preserve">The Sand Seal shall not be placed on wet pavements or when the ambient temperature is less than 5°C. </w:t>
      </w:r>
    </w:p>
    <w:p w:rsidR="00E65ECE" w:rsidRPr="00E65ECE" w:rsidRDefault="00E65ECE" w:rsidP="00E65ECE">
      <w:pPr>
        <w:jc w:val="both"/>
        <w:rPr>
          <w:rFonts w:cs="Arial"/>
          <w:sz w:val="22"/>
          <w:lang w:val="en-CA"/>
        </w:rPr>
      </w:pPr>
    </w:p>
    <w:p w:rsidR="00E65ECE" w:rsidRPr="00E65ECE" w:rsidRDefault="00E65ECE" w:rsidP="00E65ECE">
      <w:pPr>
        <w:jc w:val="both"/>
        <w:rPr>
          <w:rFonts w:cs="Arial"/>
          <w:sz w:val="22"/>
          <w:lang w:val="en-CA"/>
        </w:rPr>
      </w:pPr>
      <w:r w:rsidRPr="00E65ECE">
        <w:rPr>
          <w:rFonts w:cs="Arial"/>
          <w:sz w:val="22"/>
          <w:lang w:val="en-CA"/>
        </w:rPr>
        <w:lastRenderedPageBreak/>
        <w:t xml:space="preserve">The asphalt emulsion shall be applied using a self-powered pressure distributor meeting the requirements contained in Specification 3.19 Prime, Tack and Fog Coats.  Prior to the commencement of the work, the Contractor shall provide the Consultant with calibration data indicating that the distributor has been calibrated to operate at the target application rate.  The Contractor is advised that smaller size nozzles may need to be installed in order for the distributor to be properly calibrated. </w:t>
      </w:r>
    </w:p>
    <w:p w:rsidR="00E65ECE" w:rsidRPr="00E65ECE" w:rsidRDefault="00E65ECE" w:rsidP="00E65ECE">
      <w:pPr>
        <w:jc w:val="both"/>
        <w:rPr>
          <w:rFonts w:cs="Arial"/>
          <w:sz w:val="22"/>
          <w:lang w:val="en-CA"/>
        </w:rPr>
      </w:pPr>
    </w:p>
    <w:p w:rsidR="00E65ECE" w:rsidRPr="00E65ECE" w:rsidRDefault="00E65ECE" w:rsidP="00E65ECE">
      <w:pPr>
        <w:jc w:val="both"/>
        <w:rPr>
          <w:rFonts w:cs="Arial"/>
          <w:sz w:val="22"/>
          <w:lang w:val="en-CA"/>
        </w:rPr>
      </w:pPr>
      <w:r w:rsidRPr="00E65ECE">
        <w:rPr>
          <w:rFonts w:cs="Arial"/>
          <w:sz w:val="22"/>
          <w:lang w:val="en-CA"/>
        </w:rPr>
        <w:t>To achieve the restorative effects of the emulsion the blotter sand material shall not be applied until after the emulsion has cured.  The sand shall be spread to provide complete and uniform coverage within an estimated range of 2 kg/m</w:t>
      </w:r>
      <w:r w:rsidRPr="00E65ECE">
        <w:rPr>
          <w:rFonts w:cs="Arial"/>
          <w:sz w:val="22"/>
          <w:vertAlign w:val="superscript"/>
          <w:lang w:val="en-CA"/>
        </w:rPr>
        <w:t>2</w:t>
      </w:r>
      <w:r w:rsidRPr="00E65ECE">
        <w:rPr>
          <w:rFonts w:cs="Arial"/>
          <w:sz w:val="22"/>
          <w:lang w:val="en-CA"/>
        </w:rPr>
        <w:t xml:space="preserve"> to 3 kg/m</w:t>
      </w:r>
      <w:r w:rsidRPr="00E65ECE">
        <w:rPr>
          <w:rFonts w:cs="Arial"/>
          <w:sz w:val="22"/>
          <w:vertAlign w:val="superscript"/>
          <w:lang w:val="en-CA"/>
        </w:rPr>
        <w:t>2</w:t>
      </w:r>
      <w:r w:rsidRPr="00E65ECE">
        <w:rPr>
          <w:rFonts w:cs="Arial"/>
          <w:sz w:val="22"/>
          <w:lang w:val="en-CA"/>
        </w:rPr>
        <w:t>.  Immediately following spreading, the Sand Seal shall be rolled using self-propelled pneumatic rollers.</w:t>
      </w:r>
    </w:p>
    <w:p w:rsidR="00E65ECE" w:rsidRPr="00E65ECE" w:rsidRDefault="00E65ECE" w:rsidP="00E65ECE">
      <w:pPr>
        <w:jc w:val="both"/>
        <w:rPr>
          <w:rFonts w:cs="Arial"/>
          <w:sz w:val="22"/>
          <w:lang w:val="en-CA"/>
        </w:rPr>
      </w:pPr>
    </w:p>
    <w:p w:rsidR="00E65ECE" w:rsidRPr="00E65ECE" w:rsidRDefault="00E65ECE" w:rsidP="00E65ECE">
      <w:pPr>
        <w:jc w:val="both"/>
        <w:rPr>
          <w:rFonts w:cs="Arial"/>
          <w:sz w:val="22"/>
          <w:lang w:val="en-CA"/>
        </w:rPr>
      </w:pPr>
      <w:r w:rsidRPr="00E65ECE">
        <w:rPr>
          <w:rFonts w:cs="Arial"/>
          <w:sz w:val="22"/>
          <w:lang w:val="en-CA"/>
        </w:rPr>
        <w:t xml:space="preserve">The sealed pavement may be opened to traffic after rolling.  The sealed surface shall be </w:t>
      </w:r>
      <w:proofErr w:type="spellStart"/>
      <w:r w:rsidRPr="00E65ECE">
        <w:rPr>
          <w:rFonts w:cs="Arial"/>
          <w:sz w:val="22"/>
          <w:lang w:val="en-CA"/>
        </w:rPr>
        <w:t>broomed</w:t>
      </w:r>
      <w:proofErr w:type="spellEnd"/>
      <w:r w:rsidRPr="00E65ECE">
        <w:rPr>
          <w:rFonts w:cs="Arial"/>
          <w:sz w:val="22"/>
          <w:lang w:val="en-CA"/>
        </w:rPr>
        <w:t xml:space="preserve"> by the Contractor after the Sand Seal has sufficiently cured as determined by the Consultant.</w:t>
      </w:r>
    </w:p>
    <w:p w:rsidR="00E65ECE" w:rsidRPr="00E65ECE" w:rsidRDefault="00E65ECE" w:rsidP="00E65ECE">
      <w:pPr>
        <w:jc w:val="both"/>
        <w:rPr>
          <w:rFonts w:cs="Arial"/>
          <w:sz w:val="22"/>
          <w:lang w:val="en-CA"/>
        </w:rPr>
      </w:pPr>
    </w:p>
    <w:p w:rsidR="00E65ECE" w:rsidRPr="00E65ECE" w:rsidRDefault="00E65ECE" w:rsidP="00E65ECE">
      <w:pPr>
        <w:jc w:val="both"/>
        <w:rPr>
          <w:rFonts w:cs="Arial"/>
          <w:sz w:val="22"/>
          <w:lang w:val="en-CA"/>
        </w:rPr>
      </w:pPr>
      <w:r w:rsidRPr="00E65ECE">
        <w:rPr>
          <w:rFonts w:cs="Arial"/>
          <w:sz w:val="22"/>
          <w:lang w:val="en-CA"/>
        </w:rPr>
        <w:t>Bulk measured application rates for the emulsion and sand shall be determined and provided to the Consultant on a daily basis or as requested by the Consultant.</w:t>
      </w:r>
    </w:p>
    <w:p w:rsidR="00E65ECE" w:rsidRPr="00E65ECE" w:rsidRDefault="00E65ECE" w:rsidP="00E65ECE">
      <w:pPr>
        <w:pStyle w:val="Heading2"/>
        <w:ind w:left="1080" w:hanging="450"/>
        <w:rPr>
          <w:b w:val="0"/>
          <w:bCs w:val="0"/>
        </w:rPr>
      </w:pPr>
      <w:r w:rsidRPr="00E65ECE">
        <w:t>Measurement and Payment</w:t>
      </w:r>
    </w:p>
    <w:p w:rsidR="00E65ECE" w:rsidRPr="00E65ECE" w:rsidRDefault="00E65ECE" w:rsidP="00E65ECE">
      <w:pPr>
        <w:jc w:val="both"/>
        <w:rPr>
          <w:sz w:val="22"/>
          <w:szCs w:val="22"/>
          <w:lang w:val="en-CA" w:eastAsia="en-US"/>
        </w:rPr>
      </w:pPr>
      <w:r w:rsidRPr="00E65ECE">
        <w:rPr>
          <w:sz w:val="22"/>
          <w:lang w:val="en-CA"/>
        </w:rPr>
        <w:t>The amount of concentrate asphalt restorative product incorporated into the work will be measured by litre based upon supplier delivery weigh bills.  Payment for supply of accepted rejuvenating product will be at the unit rate bid for “Supply Rejuvenating Agent”.</w:t>
      </w:r>
    </w:p>
    <w:p w:rsidR="00E65ECE" w:rsidRPr="00E65ECE" w:rsidRDefault="00E65ECE" w:rsidP="00E65ECE">
      <w:pPr>
        <w:jc w:val="both"/>
        <w:rPr>
          <w:sz w:val="22"/>
          <w:lang w:val="en-CA"/>
        </w:rPr>
      </w:pPr>
    </w:p>
    <w:p w:rsidR="00E65ECE" w:rsidRPr="00E65ECE" w:rsidRDefault="00E65ECE" w:rsidP="00E65ECE">
      <w:pPr>
        <w:jc w:val="both"/>
        <w:rPr>
          <w:sz w:val="22"/>
          <w:lang w:val="en-CA"/>
        </w:rPr>
      </w:pPr>
      <w:r w:rsidRPr="00E65ECE">
        <w:rPr>
          <w:sz w:val="22"/>
          <w:lang w:val="en-CA"/>
        </w:rPr>
        <w:t xml:space="preserve">Measurement of accepted Restorative Sand Seal Treatment will be in square metres.  Payment will be made at the unit rate bid for “Sand Seal Surface Treatment”.  Payment will be full compensation for preparing the existing surface; test patch placement and evaluation; supplying and installing temporary lane markers; applying the restorative asphalt emulsion; supplying, processing, hauling and placing the blotter sand; rolling and </w:t>
      </w:r>
      <w:proofErr w:type="spellStart"/>
      <w:r w:rsidRPr="00E65ECE">
        <w:rPr>
          <w:sz w:val="22"/>
          <w:lang w:val="en-CA"/>
        </w:rPr>
        <w:t>brooming</w:t>
      </w:r>
      <w:proofErr w:type="spellEnd"/>
      <w:r w:rsidRPr="00E65ECE">
        <w:rPr>
          <w:sz w:val="22"/>
          <w:lang w:val="en-CA"/>
        </w:rPr>
        <w:t xml:space="preserve"> the sand seal surface; replacing and/or maintaining pavement markings; quality control; traffic accommodation and traffic convoy.</w:t>
      </w:r>
    </w:p>
    <w:p w:rsidR="009433D7" w:rsidRPr="00E65ECE" w:rsidRDefault="00990F40">
      <w:pPr>
        <w:rPr>
          <w:lang w:val="en-CA"/>
        </w:rPr>
      </w:pPr>
    </w:p>
    <w:p w:rsidR="00E65ECE" w:rsidRPr="00E65ECE" w:rsidRDefault="00E65ECE">
      <w:pPr>
        <w:rPr>
          <w:lang w:val="en-CA"/>
        </w:rPr>
      </w:pPr>
    </w:p>
    <w:p w:rsidR="00E65ECE" w:rsidRPr="00E65ECE" w:rsidRDefault="00E65ECE" w:rsidP="00E65ECE">
      <w:pPr>
        <w:rPr>
          <w:b/>
          <w:color w:val="FF0000"/>
          <w:lang w:val="en-CA"/>
        </w:rPr>
      </w:pPr>
      <w:r w:rsidRPr="00E65ECE">
        <w:rPr>
          <w:b/>
          <w:color w:val="FF0000"/>
          <w:lang w:val="en-CA"/>
        </w:rPr>
        <w:t>Notes to the Designer (Not to be inserted into the tender)</w:t>
      </w:r>
    </w:p>
    <w:p w:rsidR="00E65ECE" w:rsidRPr="00E65ECE" w:rsidRDefault="00E65ECE" w:rsidP="00E65ECE">
      <w:pPr>
        <w:rPr>
          <w:color w:val="FF0000"/>
          <w:lang w:val="en-CA"/>
        </w:rPr>
      </w:pPr>
    </w:p>
    <w:p w:rsidR="00E65ECE" w:rsidRPr="00E65ECE" w:rsidRDefault="00E65ECE" w:rsidP="00E65ECE">
      <w:pPr>
        <w:rPr>
          <w:rFonts w:cs="Arial"/>
          <w:color w:val="FF0000"/>
          <w:lang w:val="en-CA"/>
        </w:rPr>
      </w:pPr>
      <w:r w:rsidRPr="00E65ECE">
        <w:rPr>
          <w:color w:val="FF0000"/>
          <w:lang w:val="en-CA"/>
        </w:rPr>
        <w:t xml:space="preserve">Estimate the amount of undiluted restorative asphalt emulsion at a rate of 0.32 </w:t>
      </w:r>
      <w:r w:rsidRPr="00E65ECE">
        <w:rPr>
          <w:rFonts w:ascii="Script MT Bold" w:hAnsi="Script MT Bold"/>
          <w:color w:val="FF0000"/>
          <w:lang w:val="en-CA"/>
        </w:rPr>
        <w:t>l/</w:t>
      </w:r>
      <w:r w:rsidRPr="00E65ECE">
        <w:rPr>
          <w:rFonts w:cs="Arial"/>
          <w:color w:val="FF0000"/>
          <w:lang w:val="en-CA"/>
        </w:rPr>
        <w:t>m</w:t>
      </w:r>
      <w:r w:rsidRPr="00E65ECE">
        <w:rPr>
          <w:rFonts w:cs="Arial"/>
          <w:color w:val="FF0000"/>
          <w:vertAlign w:val="superscript"/>
          <w:lang w:val="en-CA"/>
        </w:rPr>
        <w:t>2</w:t>
      </w:r>
    </w:p>
    <w:p w:rsidR="00E65ECE" w:rsidRDefault="00E65ECE"/>
    <w:sectPr w:rsidR="00E65ECE">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8B8" w:rsidRDefault="005458B8" w:rsidP="005458B8">
      <w:r>
        <w:separator/>
      </w:r>
    </w:p>
  </w:endnote>
  <w:endnote w:type="continuationSeparator" w:id="0">
    <w:p w:rsidR="005458B8" w:rsidRDefault="005458B8" w:rsidP="0054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8B8" w:rsidRDefault="005458B8">
    <w:pPr>
      <w:pStyle w:val="Footer"/>
    </w:pPr>
    <w: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8B8" w:rsidRDefault="005458B8" w:rsidP="005458B8">
      <w:r>
        <w:separator/>
      </w:r>
    </w:p>
  </w:footnote>
  <w:footnote w:type="continuationSeparator" w:id="0">
    <w:p w:rsidR="005458B8" w:rsidRDefault="005458B8" w:rsidP="0054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8B8" w:rsidRPr="001C3D16" w:rsidRDefault="005458B8" w:rsidP="005458B8">
    <w:pPr>
      <w:tabs>
        <w:tab w:val="left" w:pos="7740"/>
        <w:tab w:val="left" w:pos="7830"/>
        <w:tab w:val="left" w:pos="9270"/>
      </w:tabs>
      <w:rPr>
        <w:sz w:val="28"/>
        <w:szCs w:val="28"/>
        <w:lang w:eastAsia="en-US"/>
      </w:rPr>
    </w:pPr>
    <w:r>
      <w:rPr>
        <w:sz w:val="28"/>
        <w:szCs w:val="28"/>
        <w:lang w:eastAsia="en-US"/>
      </w:rPr>
      <w:t>S</w:t>
    </w:r>
    <w:r w:rsidRPr="001C3D16">
      <w:rPr>
        <w:sz w:val="28"/>
        <w:szCs w:val="28"/>
        <w:lang w:eastAsia="en-US"/>
      </w:rPr>
      <w:t xml:space="preserve">pecial Provision </w:t>
    </w:r>
    <w:r w:rsidRPr="001C3D16">
      <w:rPr>
        <w:sz w:val="28"/>
        <w:szCs w:val="28"/>
        <w:lang w:eastAsia="en-US"/>
      </w:rPr>
      <w:tab/>
    </w:r>
    <w:r>
      <w:rPr>
        <w:sz w:val="28"/>
        <w:szCs w:val="28"/>
        <w:lang w:eastAsia="en-US"/>
      </w:rPr>
      <w:t xml:space="preserve">     </w:t>
    </w:r>
    <w:r w:rsidRPr="001C3D16">
      <w:rPr>
        <w:sz w:val="28"/>
        <w:szCs w:val="28"/>
        <w:lang w:eastAsia="en-US"/>
      </w:rPr>
      <w:t>SP_S30</w:t>
    </w:r>
    <w:r>
      <w:rPr>
        <w:sz w:val="28"/>
        <w:szCs w:val="28"/>
        <w:lang w:eastAsia="en-US"/>
      </w:rPr>
      <w:t>3</w:t>
    </w:r>
  </w:p>
  <w:p w:rsidR="005458B8" w:rsidRPr="001C3D16" w:rsidRDefault="005458B8" w:rsidP="005458B8">
    <w:pPr>
      <w:jc w:val="center"/>
      <w:rPr>
        <w:b/>
        <w:i/>
        <w:color w:val="B2A1C7"/>
        <w:sz w:val="36"/>
        <w:szCs w:val="36"/>
        <w:lang w:eastAsia="en-US"/>
      </w:rPr>
    </w:pPr>
  </w:p>
  <w:p w:rsidR="005458B8" w:rsidRPr="001C3D16" w:rsidRDefault="005458B8" w:rsidP="005458B8">
    <w:pPr>
      <w:jc w:val="center"/>
      <w:rPr>
        <w:b/>
        <w:i/>
        <w:color w:val="B2A1C7"/>
        <w:sz w:val="36"/>
        <w:szCs w:val="36"/>
        <w:lang w:eastAsia="en-US"/>
      </w:rPr>
    </w:pPr>
    <w:r w:rsidRPr="001C3D16">
      <w:rPr>
        <w:b/>
        <w:i/>
        <w:color w:val="B2A1C7"/>
        <w:sz w:val="36"/>
        <w:szCs w:val="36"/>
        <w:lang w:eastAsia="en-US"/>
      </w:rPr>
      <w:t xml:space="preserve">INCLUDE IN PROJECTS </w:t>
    </w:r>
    <w:r>
      <w:rPr>
        <w:b/>
        <w:i/>
        <w:color w:val="B2A1C7"/>
        <w:sz w:val="36"/>
        <w:szCs w:val="36"/>
        <w:lang w:eastAsia="en-US"/>
      </w:rPr>
      <w:t>SPECIFYING SAND SEAL SURFACE TREATMENT</w:t>
    </w:r>
  </w:p>
  <w:p w:rsidR="005458B8" w:rsidRDefault="005458B8" w:rsidP="005458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32E29"/>
    <w:multiLevelType w:val="multilevel"/>
    <w:tmpl w:val="33468E84"/>
    <w:lvl w:ilvl="0">
      <w:start w:val="1"/>
      <w:numFmt w:val="decimal"/>
      <w:pStyle w:val="Heading1"/>
      <w:lvlText w:val="%1."/>
      <w:lvlJc w:val="left"/>
      <w:pPr>
        <w:ind w:left="432" w:hanging="432"/>
      </w:pPr>
      <w:rPr>
        <w:rFonts w:hint="default"/>
      </w:rPr>
    </w:lvl>
    <w:lvl w:ilvl="1">
      <w:numFmt w:val="decimal"/>
      <w:pStyle w:val="Heading2"/>
      <w:lvlText w:val="%1.%2"/>
      <w:lvlJc w:val="left"/>
      <w:pPr>
        <w:ind w:left="1386" w:hanging="576"/>
      </w:pPr>
      <w:rPr>
        <w:rFonts w:hint="default"/>
        <w:b/>
      </w:rPr>
    </w:lvl>
    <w:lvl w:ilvl="2">
      <w:start w:val="1"/>
      <w:numFmt w:val="decimal"/>
      <w:pStyle w:val="Heading3"/>
      <w:lvlText w:val="%1.%2.%3"/>
      <w:lvlJc w:val="left"/>
      <w:pPr>
        <w:ind w:left="756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CE"/>
    <w:rsid w:val="0011036E"/>
    <w:rsid w:val="001C4B31"/>
    <w:rsid w:val="0045535C"/>
    <w:rsid w:val="005458B8"/>
    <w:rsid w:val="005C014A"/>
    <w:rsid w:val="00990F40"/>
    <w:rsid w:val="00B81A71"/>
    <w:rsid w:val="00E65ECE"/>
    <w:rsid w:val="00EC1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49199A1-2470-4761-871A-C7F1555D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ECE"/>
    <w:pPr>
      <w:spacing w:after="0" w:line="240" w:lineRule="auto"/>
    </w:pPr>
    <w:rPr>
      <w:rFonts w:ascii="Arial" w:hAnsi="Arial" w:cs="Times New Roman"/>
      <w:sz w:val="20"/>
      <w:szCs w:val="24"/>
      <w:lang w:val="en-US" w:eastAsia="zh-CN"/>
    </w:rPr>
  </w:style>
  <w:style w:type="paragraph" w:styleId="Heading1">
    <w:name w:val="heading 1"/>
    <w:basedOn w:val="Normal"/>
    <w:next w:val="Normal"/>
    <w:link w:val="Heading1Char"/>
    <w:qFormat/>
    <w:rsid w:val="00E65ECE"/>
    <w:pPr>
      <w:keepNext/>
      <w:keepLines/>
      <w:pageBreakBefore/>
      <w:numPr>
        <w:numId w:val="1"/>
      </w:numPr>
      <w:tabs>
        <w:tab w:val="left" w:pos="720"/>
      </w:tabs>
      <w:jc w:val="both"/>
      <w:outlineLvl w:val="0"/>
    </w:pPr>
    <w:rPr>
      <w:rFonts w:eastAsiaTheme="majorEastAsia" w:cs="Arial"/>
      <w:b/>
      <w:bCs/>
      <w:caps/>
      <w:sz w:val="22"/>
      <w:szCs w:val="22"/>
      <w:lang w:val="en-CA" w:eastAsia="en-US"/>
    </w:rPr>
  </w:style>
  <w:style w:type="paragraph" w:styleId="Heading2">
    <w:name w:val="heading 2"/>
    <w:basedOn w:val="Normal"/>
    <w:next w:val="Normal"/>
    <w:link w:val="Heading2Char"/>
    <w:unhideWhenUsed/>
    <w:qFormat/>
    <w:rsid w:val="00E65ECE"/>
    <w:pPr>
      <w:keepNext/>
      <w:keepLines/>
      <w:numPr>
        <w:ilvl w:val="1"/>
        <w:numId w:val="1"/>
      </w:numPr>
      <w:spacing w:before="240" w:after="240"/>
      <w:jc w:val="both"/>
      <w:outlineLvl w:val="1"/>
    </w:pPr>
    <w:rPr>
      <w:rFonts w:eastAsiaTheme="majorEastAsia" w:cs="Arial"/>
      <w:b/>
      <w:bCs/>
      <w:smallCaps/>
      <w:sz w:val="22"/>
      <w:szCs w:val="22"/>
      <w:lang w:val="en-CA" w:eastAsia="en-US"/>
    </w:rPr>
  </w:style>
  <w:style w:type="paragraph" w:styleId="Heading3">
    <w:name w:val="heading 3"/>
    <w:basedOn w:val="Normal"/>
    <w:next w:val="Normal"/>
    <w:link w:val="Heading3Char"/>
    <w:unhideWhenUsed/>
    <w:qFormat/>
    <w:rsid w:val="00E65ECE"/>
    <w:pPr>
      <w:keepNext/>
      <w:keepLines/>
      <w:numPr>
        <w:ilvl w:val="2"/>
        <w:numId w:val="1"/>
      </w:numPr>
      <w:spacing w:before="120" w:after="120"/>
      <w:jc w:val="both"/>
      <w:outlineLvl w:val="2"/>
    </w:pPr>
    <w:rPr>
      <w:rFonts w:eastAsiaTheme="majorEastAsia" w:cs="Arial"/>
      <w:b/>
      <w:bCs/>
      <w:sz w:val="22"/>
      <w:szCs w:val="22"/>
      <w:lang w:val="en-CA" w:eastAsia="en-US"/>
    </w:rPr>
  </w:style>
  <w:style w:type="paragraph" w:styleId="Heading4">
    <w:name w:val="heading 4"/>
    <w:basedOn w:val="Normal"/>
    <w:next w:val="Normal"/>
    <w:link w:val="Heading4Char"/>
    <w:unhideWhenUsed/>
    <w:qFormat/>
    <w:rsid w:val="00E65ECE"/>
    <w:pPr>
      <w:keepNext/>
      <w:keepLines/>
      <w:numPr>
        <w:ilvl w:val="3"/>
        <w:numId w:val="1"/>
      </w:numPr>
      <w:spacing w:before="200"/>
      <w:jc w:val="both"/>
      <w:outlineLvl w:val="3"/>
    </w:pPr>
    <w:rPr>
      <w:rFonts w:asciiTheme="majorHAnsi" w:eastAsiaTheme="majorEastAsia" w:hAnsiTheme="majorHAnsi" w:cstheme="majorBidi"/>
      <w:b/>
      <w:bCs/>
      <w:i/>
      <w:iCs/>
      <w:color w:val="4F81BD" w:themeColor="accent1"/>
      <w:szCs w:val="22"/>
      <w:lang w:val="en-CA" w:eastAsia="en-US"/>
    </w:rPr>
  </w:style>
  <w:style w:type="paragraph" w:styleId="Heading5">
    <w:name w:val="heading 5"/>
    <w:basedOn w:val="Normal"/>
    <w:next w:val="Normal"/>
    <w:link w:val="Heading5Char"/>
    <w:unhideWhenUsed/>
    <w:qFormat/>
    <w:rsid w:val="00E65ECE"/>
    <w:pPr>
      <w:keepNext/>
      <w:keepLines/>
      <w:numPr>
        <w:ilvl w:val="4"/>
        <w:numId w:val="1"/>
      </w:numPr>
      <w:spacing w:before="200"/>
      <w:jc w:val="both"/>
      <w:outlineLvl w:val="4"/>
    </w:pPr>
    <w:rPr>
      <w:rFonts w:asciiTheme="majorHAnsi" w:eastAsiaTheme="majorEastAsia" w:hAnsiTheme="majorHAnsi" w:cstheme="majorBidi"/>
      <w:color w:val="243F60" w:themeColor="accent1" w:themeShade="7F"/>
      <w:szCs w:val="22"/>
      <w:lang w:val="en-CA" w:eastAsia="en-US"/>
    </w:rPr>
  </w:style>
  <w:style w:type="paragraph" w:styleId="Heading6">
    <w:name w:val="heading 6"/>
    <w:basedOn w:val="Normal"/>
    <w:next w:val="Normal"/>
    <w:link w:val="Heading6Char"/>
    <w:unhideWhenUsed/>
    <w:qFormat/>
    <w:rsid w:val="00E65ECE"/>
    <w:pPr>
      <w:keepNext/>
      <w:keepLines/>
      <w:numPr>
        <w:ilvl w:val="5"/>
        <w:numId w:val="1"/>
      </w:numPr>
      <w:spacing w:before="200"/>
      <w:jc w:val="both"/>
      <w:outlineLvl w:val="5"/>
    </w:pPr>
    <w:rPr>
      <w:rFonts w:asciiTheme="majorHAnsi" w:eastAsiaTheme="majorEastAsia" w:hAnsiTheme="majorHAnsi" w:cstheme="majorBidi"/>
      <w:i/>
      <w:iCs/>
      <w:color w:val="243F60" w:themeColor="accent1" w:themeShade="7F"/>
      <w:szCs w:val="22"/>
      <w:lang w:val="en-CA" w:eastAsia="en-US"/>
    </w:rPr>
  </w:style>
  <w:style w:type="paragraph" w:styleId="Heading7">
    <w:name w:val="heading 7"/>
    <w:basedOn w:val="Normal"/>
    <w:next w:val="Normal"/>
    <w:link w:val="Heading7Char"/>
    <w:unhideWhenUsed/>
    <w:qFormat/>
    <w:rsid w:val="00E65ECE"/>
    <w:pPr>
      <w:keepNext/>
      <w:keepLines/>
      <w:numPr>
        <w:ilvl w:val="6"/>
        <w:numId w:val="1"/>
      </w:numPr>
      <w:spacing w:before="200"/>
      <w:jc w:val="both"/>
      <w:outlineLvl w:val="6"/>
    </w:pPr>
    <w:rPr>
      <w:rFonts w:asciiTheme="majorHAnsi" w:eastAsiaTheme="majorEastAsia" w:hAnsiTheme="majorHAnsi" w:cstheme="majorBidi"/>
      <w:i/>
      <w:iCs/>
      <w:color w:val="404040" w:themeColor="text1" w:themeTint="BF"/>
      <w:szCs w:val="22"/>
      <w:lang w:val="en-CA" w:eastAsia="en-US"/>
    </w:rPr>
  </w:style>
  <w:style w:type="paragraph" w:styleId="Heading8">
    <w:name w:val="heading 8"/>
    <w:basedOn w:val="Normal"/>
    <w:next w:val="Normal"/>
    <w:link w:val="Heading8Char"/>
    <w:unhideWhenUsed/>
    <w:qFormat/>
    <w:rsid w:val="00E65ECE"/>
    <w:pPr>
      <w:keepNext/>
      <w:keepLines/>
      <w:numPr>
        <w:ilvl w:val="7"/>
        <w:numId w:val="1"/>
      </w:numPr>
      <w:spacing w:before="200"/>
      <w:jc w:val="both"/>
      <w:outlineLvl w:val="7"/>
    </w:pPr>
    <w:rPr>
      <w:rFonts w:asciiTheme="majorHAnsi" w:eastAsiaTheme="majorEastAsia" w:hAnsiTheme="majorHAnsi" w:cstheme="majorBidi"/>
      <w:color w:val="404040" w:themeColor="text1" w:themeTint="BF"/>
      <w:szCs w:val="20"/>
      <w:lang w:val="en-CA" w:eastAsia="en-US"/>
    </w:rPr>
  </w:style>
  <w:style w:type="paragraph" w:styleId="Heading9">
    <w:name w:val="heading 9"/>
    <w:basedOn w:val="Normal"/>
    <w:next w:val="Normal"/>
    <w:link w:val="Heading9Char"/>
    <w:unhideWhenUsed/>
    <w:qFormat/>
    <w:rsid w:val="00E65ECE"/>
    <w:pPr>
      <w:keepNext/>
      <w:keepLines/>
      <w:numPr>
        <w:ilvl w:val="8"/>
        <w:numId w:val="1"/>
      </w:numPr>
      <w:spacing w:before="200"/>
      <w:jc w:val="both"/>
      <w:outlineLvl w:val="8"/>
    </w:pPr>
    <w:rPr>
      <w:rFonts w:asciiTheme="majorHAnsi" w:eastAsiaTheme="majorEastAsia" w:hAnsiTheme="majorHAnsi" w:cstheme="majorBidi"/>
      <w:i/>
      <w:iCs/>
      <w:color w:val="404040" w:themeColor="text1" w:themeTint="BF"/>
      <w:szCs w:val="20"/>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ECE"/>
    <w:rPr>
      <w:rFonts w:ascii="Arial" w:eastAsiaTheme="majorEastAsia" w:hAnsi="Arial" w:cs="Arial"/>
      <w:b/>
      <w:bCs/>
      <w:caps/>
    </w:rPr>
  </w:style>
  <w:style w:type="character" w:customStyle="1" w:styleId="Heading2Char">
    <w:name w:val="Heading 2 Char"/>
    <w:basedOn w:val="DefaultParagraphFont"/>
    <w:link w:val="Heading2"/>
    <w:rsid w:val="00E65ECE"/>
    <w:rPr>
      <w:rFonts w:ascii="Arial" w:eastAsiaTheme="majorEastAsia" w:hAnsi="Arial" w:cs="Arial"/>
      <w:b/>
      <w:bCs/>
      <w:smallCaps/>
    </w:rPr>
  </w:style>
  <w:style w:type="character" w:customStyle="1" w:styleId="Heading3Char">
    <w:name w:val="Heading 3 Char"/>
    <w:basedOn w:val="DefaultParagraphFont"/>
    <w:link w:val="Heading3"/>
    <w:rsid w:val="00E65ECE"/>
    <w:rPr>
      <w:rFonts w:ascii="Arial" w:eastAsiaTheme="majorEastAsia" w:hAnsi="Arial" w:cs="Arial"/>
      <w:b/>
      <w:bCs/>
    </w:rPr>
  </w:style>
  <w:style w:type="character" w:customStyle="1" w:styleId="Heading4Char">
    <w:name w:val="Heading 4 Char"/>
    <w:basedOn w:val="DefaultParagraphFont"/>
    <w:link w:val="Heading4"/>
    <w:rsid w:val="00E65ECE"/>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E65ECE"/>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E65EC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rsid w:val="00E65EC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E65E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65ECE"/>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6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8B8"/>
    <w:pPr>
      <w:tabs>
        <w:tab w:val="center" w:pos="4680"/>
        <w:tab w:val="right" w:pos="9360"/>
      </w:tabs>
    </w:pPr>
  </w:style>
  <w:style w:type="character" w:customStyle="1" w:styleId="HeaderChar">
    <w:name w:val="Header Char"/>
    <w:basedOn w:val="DefaultParagraphFont"/>
    <w:link w:val="Header"/>
    <w:uiPriority w:val="99"/>
    <w:rsid w:val="005458B8"/>
    <w:rPr>
      <w:rFonts w:ascii="Arial" w:hAnsi="Arial" w:cs="Times New Roman"/>
      <w:sz w:val="20"/>
      <w:szCs w:val="24"/>
      <w:lang w:val="en-US" w:eastAsia="zh-CN"/>
    </w:rPr>
  </w:style>
  <w:style w:type="paragraph" w:styleId="Footer">
    <w:name w:val="footer"/>
    <w:basedOn w:val="Normal"/>
    <w:link w:val="FooterChar"/>
    <w:uiPriority w:val="99"/>
    <w:unhideWhenUsed/>
    <w:rsid w:val="005458B8"/>
    <w:pPr>
      <w:tabs>
        <w:tab w:val="center" w:pos="4680"/>
        <w:tab w:val="right" w:pos="9360"/>
      </w:tabs>
    </w:pPr>
  </w:style>
  <w:style w:type="character" w:customStyle="1" w:styleId="FooterChar">
    <w:name w:val="Footer Char"/>
    <w:basedOn w:val="DefaultParagraphFont"/>
    <w:link w:val="Footer"/>
    <w:uiPriority w:val="99"/>
    <w:rsid w:val="005458B8"/>
    <w:rPr>
      <w:rFonts w:ascii="Arial" w:hAnsi="Arial"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0818-9535-4963-83F0-192E92D5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SP_S303 (Sand Seal Surface Treatment)</vt:lpstr>
    </vt:vector>
  </TitlesOfParts>
  <Company>GOA</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SP_S303 (Sand Seal Surface Treatment)</dc:title>
  <dc:subject>Special Provision</dc:subject>
  <dc:creator>Transportation</dc:creator>
  <cp:keywords>CRF; sand seal; rejuvenating</cp:keywords>
  <cp:lastModifiedBy>Glenda Kuziemsky</cp:lastModifiedBy>
  <cp:revision>2</cp:revision>
  <dcterms:created xsi:type="dcterms:W3CDTF">2020-02-18T17:43:00Z</dcterms:created>
  <dcterms:modified xsi:type="dcterms:W3CDTF">2020-02-18T17:43:00Z</dcterms:modified>
</cp:coreProperties>
</file>