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0"/>
        <w:gridCol w:w="7251"/>
      </w:tblGrid>
      <w:tr w:rsidR="00DA3F03" w:rsidRPr="00DA3F03" w14:paraId="12A2E4D6" w14:textId="77777777" w:rsidTr="00F92EC3">
        <w:tc>
          <w:tcPr>
            <w:tcW w:w="2700" w:type="dxa"/>
            <w:shd w:val="clear" w:color="auto" w:fill="00AAD2" w:themeFill="accent3"/>
            <w:tcMar>
              <w:left w:w="0" w:type="dxa"/>
              <w:right w:w="0" w:type="dxa"/>
            </w:tcMar>
          </w:tcPr>
          <w:p w14:paraId="597F0EFE" w14:textId="77777777" w:rsidR="00DA3F03" w:rsidRPr="00DA3F03" w:rsidRDefault="00DA3F03" w:rsidP="00DA3F03">
            <w:pPr>
              <w:pStyle w:val="Section2"/>
              <w:spacing w:line="80" w:lineRule="atLeast"/>
              <w:rPr>
                <w:sz w:val="8"/>
                <w:szCs w:val="8"/>
              </w:rPr>
            </w:pPr>
          </w:p>
        </w:tc>
        <w:tc>
          <w:tcPr>
            <w:tcW w:w="7251" w:type="dxa"/>
            <w:tcMar>
              <w:left w:w="0" w:type="dxa"/>
              <w:right w:w="0" w:type="dxa"/>
            </w:tcMar>
          </w:tcPr>
          <w:p w14:paraId="7A6F15C3" w14:textId="07DA11A0" w:rsidR="00F92EC3" w:rsidRPr="00DA3F03" w:rsidRDefault="00F92EC3" w:rsidP="00DA3F03">
            <w:pPr>
              <w:pStyle w:val="Section2"/>
              <w:spacing w:line="80" w:lineRule="atLeast"/>
              <w:rPr>
                <w:sz w:val="8"/>
                <w:szCs w:val="8"/>
              </w:rPr>
            </w:pPr>
            <w:r>
              <w:rPr>
                <w:sz w:val="8"/>
                <w:szCs w:val="8"/>
              </w:rPr>
              <w:t xml:space="preserve">   </w:t>
            </w:r>
          </w:p>
        </w:tc>
      </w:tr>
    </w:tbl>
    <w:p w14:paraId="4962E695" w14:textId="23A2106C" w:rsidR="000920EB" w:rsidRDefault="000920EB" w:rsidP="00B03267">
      <w:pPr>
        <w:tabs>
          <w:tab w:val="left" w:pos="4008"/>
        </w:tabs>
      </w:pPr>
    </w:p>
    <w:p w14:paraId="6C3009EB" w14:textId="52DBAA73" w:rsidR="0062343B" w:rsidRDefault="0062343B" w:rsidP="0062343B">
      <w:pPr>
        <w:tabs>
          <w:tab w:val="left" w:pos="4050"/>
          <w:tab w:val="left" w:pos="5245"/>
          <w:tab w:val="left" w:pos="7830"/>
          <w:tab w:val="left" w:pos="9180"/>
        </w:tabs>
        <w:rPr>
          <w:sz w:val="28"/>
          <w:szCs w:val="28"/>
        </w:rPr>
      </w:pPr>
      <w:r>
        <w:rPr>
          <w:sz w:val="28"/>
          <w:szCs w:val="28"/>
        </w:rPr>
        <w:t xml:space="preserve">Specification Amendment </w:t>
      </w:r>
      <w:r>
        <w:rPr>
          <w:sz w:val="28"/>
          <w:szCs w:val="28"/>
        </w:rPr>
        <w:tab/>
        <w:t xml:space="preserve">        </w:t>
      </w:r>
      <w:r>
        <w:rPr>
          <w:sz w:val="28"/>
          <w:szCs w:val="28"/>
        </w:rPr>
        <w:tab/>
        <w:t xml:space="preserve">                                   </w:t>
      </w:r>
      <w:r w:rsidRPr="009E3740">
        <w:rPr>
          <w:sz w:val="28"/>
          <w:szCs w:val="28"/>
        </w:rPr>
        <w:t>AMC_</w:t>
      </w:r>
      <w:r>
        <w:rPr>
          <w:sz w:val="28"/>
          <w:szCs w:val="28"/>
        </w:rPr>
        <w:t xml:space="preserve">C297 </w:t>
      </w:r>
    </w:p>
    <w:p w14:paraId="4645A0D1" w14:textId="6E848004" w:rsidR="0062343B" w:rsidRPr="0062343B" w:rsidRDefault="0062343B" w:rsidP="0062343B">
      <w:pPr>
        <w:tabs>
          <w:tab w:val="left" w:pos="4050"/>
          <w:tab w:val="left" w:pos="5245"/>
          <w:tab w:val="left" w:pos="7830"/>
          <w:tab w:val="left" w:pos="9180"/>
        </w:tabs>
        <w:jc w:val="center"/>
        <w:rPr>
          <w:b/>
          <w:i/>
          <w:color w:val="A3E0EE" w:themeColor="accent4" w:themeTint="99"/>
          <w:sz w:val="36"/>
          <w:szCs w:val="36"/>
        </w:rPr>
      </w:pPr>
      <w:r w:rsidRPr="0062343B">
        <w:rPr>
          <w:b/>
          <w:i/>
          <w:color w:val="A3E0EE" w:themeColor="accent4" w:themeTint="99"/>
          <w:sz w:val="36"/>
          <w:szCs w:val="36"/>
        </w:rPr>
        <w:t>INCLUDE IN ALL TENDERS THAT REFERENCE:</w:t>
      </w:r>
    </w:p>
    <w:p w14:paraId="783759A0" w14:textId="77777777" w:rsidR="0062343B" w:rsidRPr="0062343B" w:rsidRDefault="0062343B" w:rsidP="0062343B">
      <w:pPr>
        <w:pStyle w:val="ListParagraph"/>
        <w:numPr>
          <w:ilvl w:val="0"/>
          <w:numId w:val="32"/>
        </w:numPr>
        <w:autoSpaceDE/>
        <w:autoSpaceDN/>
        <w:adjustRightInd/>
        <w:spacing w:after="0" w:line="240" w:lineRule="auto"/>
        <w:jc w:val="center"/>
        <w:textAlignment w:val="auto"/>
        <w:rPr>
          <w:b/>
          <w:i/>
          <w:color w:val="A3E0EE" w:themeColor="accent4" w:themeTint="99"/>
          <w:sz w:val="36"/>
          <w:szCs w:val="36"/>
        </w:rPr>
      </w:pPr>
      <w:r w:rsidRPr="0062343B">
        <w:rPr>
          <w:b/>
          <w:i/>
          <w:color w:val="A3E0EE" w:themeColor="accent4" w:themeTint="99"/>
          <w:sz w:val="36"/>
          <w:szCs w:val="36"/>
        </w:rPr>
        <w:t>GENERAL SPECIFICATIONS, EDITION 16, 2019</w:t>
      </w:r>
    </w:p>
    <w:p w14:paraId="4E77E147" w14:textId="77777777" w:rsidR="0062343B" w:rsidRDefault="0062343B" w:rsidP="0062343B">
      <w:pPr>
        <w:pStyle w:val="Heading2"/>
      </w:pPr>
      <w:bookmarkStart w:id="0" w:name="_Toc187221829"/>
      <w:bookmarkStart w:id="1" w:name="_Toc189738250"/>
      <w:r w:rsidRPr="00C47AD8">
        <w:t xml:space="preserve">Amendments to Specification 1.2, General, Re: </w:t>
      </w:r>
      <w:bookmarkEnd w:id="0"/>
      <w:bookmarkEnd w:id="1"/>
      <w:r>
        <w:t>Payment and Holdback</w:t>
      </w:r>
    </w:p>
    <w:p w14:paraId="680A42F2" w14:textId="77777777" w:rsidR="0062343B" w:rsidRPr="00C42997" w:rsidRDefault="0062343B" w:rsidP="0062343B"/>
    <w:p w14:paraId="6CB73C2A" w14:textId="77777777" w:rsidR="0062343B" w:rsidRPr="00C47AD8" w:rsidRDefault="0062343B" w:rsidP="0062343B">
      <w:pPr>
        <w:pStyle w:val="ListParagraph"/>
        <w:numPr>
          <w:ilvl w:val="0"/>
          <w:numId w:val="34"/>
        </w:numPr>
        <w:autoSpaceDE/>
        <w:autoSpaceDN/>
        <w:adjustRightInd/>
        <w:spacing w:after="0" w:line="240" w:lineRule="auto"/>
        <w:ind w:left="630" w:hanging="630"/>
        <w:jc w:val="both"/>
        <w:textAlignment w:val="auto"/>
        <w:rPr>
          <w:sz w:val="22"/>
        </w:rPr>
      </w:pPr>
      <w:r w:rsidRPr="00C47AD8">
        <w:rPr>
          <w:sz w:val="22"/>
        </w:rPr>
        <w:t>Section 1.</w:t>
      </w:r>
      <w:r>
        <w:rPr>
          <w:sz w:val="22"/>
        </w:rPr>
        <w:t>1</w:t>
      </w:r>
      <w:r w:rsidRPr="00C47AD8">
        <w:rPr>
          <w:sz w:val="22"/>
        </w:rPr>
        <w:t xml:space="preserve">, </w:t>
      </w:r>
      <w:r>
        <w:rPr>
          <w:sz w:val="22"/>
          <w:u w:val="single"/>
        </w:rPr>
        <w:t>DEFINITIONS AND INTERPRETATION</w:t>
      </w:r>
      <w:r w:rsidRPr="00C47AD8">
        <w:rPr>
          <w:sz w:val="22"/>
        </w:rPr>
        <w:t>, is revised as follows:</w:t>
      </w:r>
    </w:p>
    <w:p w14:paraId="4C8C19EF" w14:textId="77777777" w:rsidR="0062343B" w:rsidRPr="00C47AD8" w:rsidRDefault="0062343B" w:rsidP="0062343B">
      <w:pPr>
        <w:spacing w:after="0" w:line="240" w:lineRule="auto"/>
        <w:jc w:val="both"/>
        <w:rPr>
          <w:sz w:val="22"/>
          <w:szCs w:val="22"/>
        </w:rPr>
      </w:pPr>
    </w:p>
    <w:p w14:paraId="35CBB746" w14:textId="77777777" w:rsidR="0062343B" w:rsidRDefault="0062343B" w:rsidP="0062343B">
      <w:pPr>
        <w:pStyle w:val="ListParagraph"/>
        <w:numPr>
          <w:ilvl w:val="0"/>
          <w:numId w:val="33"/>
        </w:numPr>
        <w:autoSpaceDE/>
        <w:autoSpaceDN/>
        <w:adjustRightInd/>
        <w:spacing w:after="0" w:line="240" w:lineRule="auto"/>
        <w:ind w:left="990"/>
        <w:jc w:val="both"/>
        <w:textAlignment w:val="auto"/>
        <w:rPr>
          <w:sz w:val="22"/>
        </w:rPr>
      </w:pPr>
      <w:r>
        <w:rPr>
          <w:sz w:val="22"/>
        </w:rPr>
        <w:t>The following definitions are inserted:</w:t>
      </w:r>
    </w:p>
    <w:p w14:paraId="6342BCEA" w14:textId="77777777" w:rsidR="0062343B" w:rsidRDefault="0062343B" w:rsidP="0062343B">
      <w:pPr>
        <w:spacing w:after="0" w:line="240" w:lineRule="auto"/>
        <w:jc w:val="both"/>
        <w:rPr>
          <w:sz w:val="22"/>
        </w:rPr>
      </w:pPr>
    </w:p>
    <w:p w14:paraId="12563799" w14:textId="77777777" w:rsidR="0062343B" w:rsidRDefault="0062343B" w:rsidP="0062343B">
      <w:pPr>
        <w:spacing w:after="0" w:line="240" w:lineRule="auto"/>
        <w:ind w:left="990"/>
        <w:rPr>
          <w:i/>
          <w:iCs/>
          <w:sz w:val="22"/>
          <w:szCs w:val="22"/>
        </w:rPr>
      </w:pPr>
      <w:r>
        <w:rPr>
          <w:i/>
          <w:iCs/>
          <w:sz w:val="22"/>
          <w:szCs w:val="22"/>
        </w:rPr>
        <w:t xml:space="preserve">1.1.12A </w:t>
      </w:r>
      <w:r w:rsidRPr="004334C6">
        <w:rPr>
          <w:i/>
          <w:iCs/>
          <w:sz w:val="22"/>
          <w:szCs w:val="22"/>
        </w:rPr>
        <w:t>Final Reconciliation</w:t>
      </w:r>
    </w:p>
    <w:p w14:paraId="109FB337" w14:textId="77777777" w:rsidR="0062343B" w:rsidRDefault="0062343B" w:rsidP="0062343B">
      <w:pPr>
        <w:spacing w:after="0" w:line="240" w:lineRule="auto"/>
        <w:ind w:left="990"/>
        <w:rPr>
          <w:i/>
          <w:iCs/>
          <w:sz w:val="22"/>
          <w:szCs w:val="22"/>
        </w:rPr>
      </w:pPr>
    </w:p>
    <w:p w14:paraId="59AAF528" w14:textId="77777777" w:rsidR="0062343B" w:rsidRPr="004334C6" w:rsidRDefault="0062343B" w:rsidP="0062343B">
      <w:pPr>
        <w:spacing w:after="0" w:line="240" w:lineRule="auto"/>
        <w:ind w:left="990"/>
        <w:rPr>
          <w:i/>
          <w:iCs/>
          <w:sz w:val="22"/>
          <w:szCs w:val="22"/>
        </w:rPr>
      </w:pPr>
      <w:r w:rsidRPr="004334C6">
        <w:rPr>
          <w:i/>
          <w:iCs/>
          <w:sz w:val="22"/>
          <w:szCs w:val="22"/>
        </w:rPr>
        <w:t>“Final Reconciliation” means a statement issued by the Department after Construction Completion comparing the quantities of Work up to and including Construction Completion, as determined by measurements made by the Consultant, that have been performed or provided by the Contractor in accordance with the Plans and Specifications to the quantities of Work paid prior to the Final Reconciliation, the applicable prices for the items of Work, and any price adjustments, deductions or additions made or to be made by the Department.</w:t>
      </w:r>
    </w:p>
    <w:p w14:paraId="0E8BF7DF" w14:textId="77777777" w:rsidR="0062343B" w:rsidRPr="004334C6" w:rsidRDefault="0062343B" w:rsidP="0062343B">
      <w:pPr>
        <w:spacing w:after="0" w:line="240" w:lineRule="auto"/>
        <w:rPr>
          <w:i/>
          <w:iCs/>
          <w:sz w:val="22"/>
          <w:szCs w:val="22"/>
        </w:rPr>
      </w:pPr>
    </w:p>
    <w:p w14:paraId="2AB0CE8D" w14:textId="77777777" w:rsidR="0062343B" w:rsidRDefault="0062343B" w:rsidP="0062343B">
      <w:pPr>
        <w:spacing w:after="0" w:line="240" w:lineRule="auto"/>
        <w:ind w:left="990"/>
        <w:rPr>
          <w:i/>
          <w:iCs/>
          <w:sz w:val="22"/>
          <w:szCs w:val="22"/>
        </w:rPr>
      </w:pPr>
      <w:r>
        <w:rPr>
          <w:i/>
          <w:iCs/>
          <w:sz w:val="22"/>
          <w:szCs w:val="22"/>
        </w:rPr>
        <w:t xml:space="preserve">1.1.13A </w:t>
      </w:r>
      <w:r w:rsidRPr="004334C6">
        <w:rPr>
          <w:i/>
          <w:iCs/>
          <w:sz w:val="22"/>
          <w:szCs w:val="22"/>
        </w:rPr>
        <w:t>Interim Reconciliation</w:t>
      </w:r>
    </w:p>
    <w:p w14:paraId="5BF0B4F6" w14:textId="77777777" w:rsidR="0062343B" w:rsidRDefault="0062343B" w:rsidP="0062343B">
      <w:pPr>
        <w:spacing w:after="0" w:line="240" w:lineRule="auto"/>
        <w:ind w:left="990"/>
        <w:rPr>
          <w:i/>
          <w:iCs/>
          <w:sz w:val="22"/>
          <w:szCs w:val="22"/>
        </w:rPr>
      </w:pPr>
    </w:p>
    <w:p w14:paraId="3C5B34FB" w14:textId="77777777" w:rsidR="0062343B" w:rsidRPr="004334C6" w:rsidRDefault="0062343B" w:rsidP="0062343B">
      <w:pPr>
        <w:spacing w:after="0" w:line="240" w:lineRule="auto"/>
        <w:ind w:left="990"/>
        <w:rPr>
          <w:i/>
          <w:iCs/>
          <w:sz w:val="22"/>
          <w:szCs w:val="22"/>
        </w:rPr>
      </w:pPr>
      <w:r w:rsidRPr="004334C6">
        <w:rPr>
          <w:i/>
          <w:iCs/>
          <w:sz w:val="22"/>
          <w:szCs w:val="22"/>
        </w:rPr>
        <w:t>“Interim Reconciliation” means a statement similar to a Final Reconciliation but for any point in time prior to a Final Reconciliation.</w:t>
      </w:r>
    </w:p>
    <w:p w14:paraId="120C6571" w14:textId="77777777" w:rsidR="0062343B" w:rsidRDefault="0062343B" w:rsidP="0062343B">
      <w:pPr>
        <w:spacing w:after="0" w:line="240" w:lineRule="auto"/>
        <w:ind w:left="990"/>
        <w:rPr>
          <w:i/>
          <w:iCs/>
          <w:sz w:val="22"/>
          <w:szCs w:val="22"/>
        </w:rPr>
      </w:pPr>
    </w:p>
    <w:p w14:paraId="009C54E1" w14:textId="77777777" w:rsidR="0062343B" w:rsidRPr="004334C6" w:rsidRDefault="0062343B" w:rsidP="0062343B">
      <w:pPr>
        <w:spacing w:after="0" w:line="240" w:lineRule="auto"/>
        <w:ind w:left="990"/>
        <w:rPr>
          <w:i/>
          <w:iCs/>
          <w:sz w:val="22"/>
          <w:szCs w:val="22"/>
        </w:rPr>
      </w:pPr>
      <w:r>
        <w:rPr>
          <w:i/>
          <w:iCs/>
          <w:sz w:val="22"/>
          <w:szCs w:val="22"/>
        </w:rPr>
        <w:t xml:space="preserve">1.1.15A </w:t>
      </w:r>
      <w:r w:rsidRPr="004334C6">
        <w:rPr>
          <w:i/>
          <w:iCs/>
          <w:sz w:val="22"/>
          <w:szCs w:val="22"/>
        </w:rPr>
        <w:t>Payment Statement</w:t>
      </w:r>
    </w:p>
    <w:p w14:paraId="0870F164" w14:textId="77777777" w:rsidR="0062343B" w:rsidRDefault="0062343B" w:rsidP="0062343B">
      <w:pPr>
        <w:spacing w:after="0" w:line="240" w:lineRule="auto"/>
        <w:ind w:left="990"/>
        <w:rPr>
          <w:i/>
          <w:iCs/>
          <w:sz w:val="22"/>
          <w:szCs w:val="22"/>
        </w:rPr>
      </w:pPr>
    </w:p>
    <w:p w14:paraId="6FE93EE7" w14:textId="77777777" w:rsidR="0062343B" w:rsidRPr="004334C6" w:rsidRDefault="0062343B" w:rsidP="0062343B">
      <w:pPr>
        <w:spacing w:after="0" w:line="240" w:lineRule="auto"/>
        <w:ind w:left="990"/>
        <w:rPr>
          <w:i/>
          <w:iCs/>
          <w:sz w:val="22"/>
          <w:szCs w:val="22"/>
        </w:rPr>
      </w:pPr>
      <w:r w:rsidRPr="004334C6">
        <w:rPr>
          <w:i/>
          <w:iCs/>
          <w:sz w:val="22"/>
          <w:szCs w:val="22"/>
        </w:rPr>
        <w:t>“Payment Statement” means a statement issued by the Department indicating the amount of a Proper Invoice that in the Department’s determination is payable.</w:t>
      </w:r>
    </w:p>
    <w:p w14:paraId="621F0463" w14:textId="77777777" w:rsidR="0062343B" w:rsidRPr="004334C6" w:rsidRDefault="0062343B" w:rsidP="0062343B">
      <w:pPr>
        <w:spacing w:after="0" w:line="240" w:lineRule="auto"/>
        <w:ind w:left="990"/>
        <w:rPr>
          <w:i/>
          <w:iCs/>
          <w:sz w:val="22"/>
          <w:szCs w:val="22"/>
        </w:rPr>
      </w:pPr>
    </w:p>
    <w:p w14:paraId="5AF831BD" w14:textId="77777777" w:rsidR="0062343B" w:rsidRDefault="0062343B" w:rsidP="0062343B">
      <w:pPr>
        <w:spacing w:after="0" w:line="240" w:lineRule="auto"/>
        <w:ind w:left="990"/>
        <w:rPr>
          <w:i/>
          <w:iCs/>
          <w:sz w:val="22"/>
          <w:szCs w:val="22"/>
        </w:rPr>
      </w:pPr>
      <w:r>
        <w:rPr>
          <w:i/>
          <w:iCs/>
          <w:sz w:val="22"/>
          <w:szCs w:val="22"/>
        </w:rPr>
        <w:t xml:space="preserve">1.1.18A </w:t>
      </w:r>
      <w:r w:rsidRPr="004334C6">
        <w:rPr>
          <w:i/>
          <w:iCs/>
          <w:sz w:val="22"/>
          <w:szCs w:val="22"/>
        </w:rPr>
        <w:t>P</w:t>
      </w:r>
      <w:r>
        <w:rPr>
          <w:i/>
          <w:iCs/>
          <w:sz w:val="22"/>
          <w:szCs w:val="22"/>
        </w:rPr>
        <w:t>rogress Estimate</w:t>
      </w:r>
    </w:p>
    <w:p w14:paraId="7E990F73" w14:textId="77777777" w:rsidR="0062343B" w:rsidRDefault="0062343B" w:rsidP="0062343B">
      <w:pPr>
        <w:spacing w:after="0" w:line="240" w:lineRule="auto"/>
        <w:ind w:left="990"/>
        <w:rPr>
          <w:i/>
          <w:iCs/>
          <w:sz w:val="22"/>
          <w:szCs w:val="22"/>
        </w:rPr>
      </w:pPr>
    </w:p>
    <w:p w14:paraId="50F2AF47" w14:textId="77777777" w:rsidR="0062343B" w:rsidRPr="004334C6" w:rsidRDefault="0062343B" w:rsidP="0062343B">
      <w:pPr>
        <w:spacing w:after="0" w:line="240" w:lineRule="auto"/>
        <w:ind w:left="990"/>
        <w:rPr>
          <w:i/>
          <w:iCs/>
          <w:sz w:val="22"/>
          <w:szCs w:val="22"/>
        </w:rPr>
      </w:pPr>
      <w:r w:rsidRPr="004334C6">
        <w:rPr>
          <w:i/>
          <w:iCs/>
          <w:sz w:val="22"/>
          <w:szCs w:val="22"/>
        </w:rPr>
        <w:t>“Progress Estimate” means a statement issued by the Consultant indicating the</w:t>
      </w:r>
      <w:r>
        <w:rPr>
          <w:i/>
          <w:iCs/>
          <w:sz w:val="22"/>
          <w:szCs w:val="22"/>
        </w:rPr>
        <w:t xml:space="preserve"> </w:t>
      </w:r>
      <w:r w:rsidRPr="004334C6">
        <w:rPr>
          <w:i/>
          <w:iCs/>
          <w:sz w:val="22"/>
          <w:szCs w:val="22"/>
        </w:rPr>
        <w:t>amount payable as determined by measurements made by the Consultant.</w:t>
      </w:r>
    </w:p>
    <w:p w14:paraId="093B246B" w14:textId="77777777" w:rsidR="0062343B" w:rsidRDefault="0062343B" w:rsidP="0062343B">
      <w:pPr>
        <w:spacing w:after="0" w:line="240" w:lineRule="auto"/>
        <w:ind w:left="990"/>
        <w:rPr>
          <w:i/>
          <w:iCs/>
          <w:sz w:val="22"/>
          <w:szCs w:val="22"/>
        </w:rPr>
      </w:pPr>
    </w:p>
    <w:p w14:paraId="3CF0C662" w14:textId="77777777" w:rsidR="0062343B" w:rsidRPr="004334C6" w:rsidRDefault="0062343B" w:rsidP="0062343B">
      <w:pPr>
        <w:spacing w:after="0" w:line="240" w:lineRule="auto"/>
        <w:ind w:left="990"/>
        <w:rPr>
          <w:i/>
          <w:iCs/>
          <w:sz w:val="22"/>
          <w:szCs w:val="22"/>
        </w:rPr>
      </w:pPr>
      <w:r>
        <w:rPr>
          <w:i/>
          <w:iCs/>
          <w:sz w:val="22"/>
          <w:szCs w:val="22"/>
        </w:rPr>
        <w:t xml:space="preserve">1.1.19A </w:t>
      </w:r>
      <w:r w:rsidRPr="004334C6">
        <w:rPr>
          <w:i/>
          <w:iCs/>
          <w:sz w:val="22"/>
          <w:szCs w:val="22"/>
        </w:rPr>
        <w:t>P</w:t>
      </w:r>
      <w:r>
        <w:rPr>
          <w:i/>
          <w:iCs/>
          <w:sz w:val="22"/>
          <w:szCs w:val="22"/>
        </w:rPr>
        <w:t>roper Invoice</w:t>
      </w:r>
    </w:p>
    <w:p w14:paraId="7BF76933" w14:textId="77777777" w:rsidR="0062343B" w:rsidRDefault="0062343B" w:rsidP="0062343B">
      <w:pPr>
        <w:spacing w:after="0" w:line="240" w:lineRule="auto"/>
        <w:ind w:left="990"/>
        <w:jc w:val="both"/>
        <w:rPr>
          <w:i/>
          <w:iCs/>
          <w:sz w:val="22"/>
          <w:szCs w:val="22"/>
        </w:rPr>
      </w:pPr>
    </w:p>
    <w:p w14:paraId="5D8BD44B" w14:textId="77777777" w:rsidR="0062343B" w:rsidRPr="004334C6" w:rsidRDefault="0062343B" w:rsidP="0062343B">
      <w:pPr>
        <w:spacing w:after="0" w:line="240" w:lineRule="auto"/>
        <w:ind w:left="990"/>
        <w:jc w:val="both"/>
        <w:rPr>
          <w:sz w:val="22"/>
        </w:rPr>
      </w:pPr>
      <w:r w:rsidRPr="004334C6">
        <w:rPr>
          <w:i/>
          <w:iCs/>
          <w:sz w:val="22"/>
          <w:szCs w:val="22"/>
        </w:rPr>
        <w:t>“Proper Invoice” means a written bill or other request for payment under the Contract containing the information contained in Section 13.1(1) of the Public Works Act and meeting any other requirements specified in the Contract.</w:t>
      </w:r>
    </w:p>
    <w:p w14:paraId="585C2A5F" w14:textId="77777777" w:rsidR="0062343B" w:rsidRPr="00C47AD8" w:rsidRDefault="0062343B" w:rsidP="0062343B">
      <w:pPr>
        <w:spacing w:after="0" w:line="240" w:lineRule="auto"/>
        <w:jc w:val="both"/>
        <w:rPr>
          <w:sz w:val="22"/>
          <w:szCs w:val="22"/>
        </w:rPr>
      </w:pPr>
    </w:p>
    <w:p w14:paraId="62D25248" w14:textId="77777777" w:rsidR="0062343B" w:rsidRPr="00C47AD8" w:rsidRDefault="0062343B" w:rsidP="0062343B">
      <w:pPr>
        <w:pStyle w:val="ListParagraph"/>
        <w:numPr>
          <w:ilvl w:val="0"/>
          <w:numId w:val="34"/>
        </w:numPr>
        <w:autoSpaceDE/>
        <w:autoSpaceDN/>
        <w:adjustRightInd/>
        <w:spacing w:after="0" w:line="240" w:lineRule="auto"/>
        <w:ind w:left="630" w:hanging="630"/>
        <w:jc w:val="both"/>
        <w:textAlignment w:val="auto"/>
        <w:rPr>
          <w:sz w:val="22"/>
        </w:rPr>
      </w:pPr>
      <w:r w:rsidRPr="00BF1FEF">
        <w:rPr>
          <w:sz w:val="22"/>
          <w:szCs w:val="22"/>
        </w:rPr>
        <w:t>Section 1.2.24</w:t>
      </w:r>
      <w:r>
        <w:rPr>
          <w:sz w:val="22"/>
          <w:szCs w:val="22"/>
        </w:rPr>
        <w:t xml:space="preserve"> </w:t>
      </w:r>
      <w:r w:rsidRPr="00BF1FEF">
        <w:rPr>
          <w:sz w:val="22"/>
          <w:szCs w:val="22"/>
          <w:u w:val="single"/>
        </w:rPr>
        <w:t>PUBLIC WORKS ACT NOTICE OF CLAIMS INFORMATION</w:t>
      </w:r>
      <w:r w:rsidRPr="00BF1FEF">
        <w:rPr>
          <w:sz w:val="22"/>
          <w:szCs w:val="22"/>
        </w:rPr>
        <w:t>, is revised as follows</w:t>
      </w:r>
      <w:r w:rsidRPr="00C47AD8">
        <w:rPr>
          <w:sz w:val="22"/>
        </w:rPr>
        <w:t>:</w:t>
      </w:r>
    </w:p>
    <w:p w14:paraId="39AB70D8" w14:textId="77777777" w:rsidR="0062343B" w:rsidRPr="00C47AD8" w:rsidRDefault="0062343B" w:rsidP="0062343B">
      <w:pPr>
        <w:spacing w:after="0" w:line="240" w:lineRule="auto"/>
        <w:jc w:val="both"/>
        <w:rPr>
          <w:sz w:val="22"/>
          <w:szCs w:val="22"/>
        </w:rPr>
      </w:pPr>
    </w:p>
    <w:p w14:paraId="0114DC66" w14:textId="77777777" w:rsidR="0062343B" w:rsidRPr="006D543D" w:rsidRDefault="0062343B" w:rsidP="0062343B">
      <w:pPr>
        <w:pStyle w:val="ListParagraph"/>
        <w:numPr>
          <w:ilvl w:val="0"/>
          <w:numId w:val="33"/>
        </w:numPr>
        <w:autoSpaceDE/>
        <w:autoSpaceDN/>
        <w:adjustRightInd/>
        <w:spacing w:after="0" w:line="240" w:lineRule="auto"/>
        <w:ind w:left="990"/>
        <w:jc w:val="both"/>
        <w:textAlignment w:val="auto"/>
        <w:rPr>
          <w:sz w:val="22"/>
        </w:rPr>
      </w:pPr>
      <w:r>
        <w:rPr>
          <w:sz w:val="22"/>
        </w:rPr>
        <w:t xml:space="preserve">In the first paragraph, the reference to </w:t>
      </w:r>
      <w:r w:rsidRPr="00CC2936">
        <w:rPr>
          <w:i/>
          <w:iCs/>
          <w:sz w:val="22"/>
        </w:rPr>
        <w:t>“Builder’s Lien Act”</w:t>
      </w:r>
      <w:r>
        <w:rPr>
          <w:sz w:val="22"/>
        </w:rPr>
        <w:t xml:space="preserve"> is replaced with </w:t>
      </w:r>
      <w:r w:rsidRPr="00CC2936">
        <w:rPr>
          <w:i/>
          <w:iCs/>
          <w:sz w:val="22"/>
        </w:rPr>
        <w:t>“Prompt Payment and Construction Lien Act”</w:t>
      </w:r>
      <w:r>
        <w:rPr>
          <w:i/>
          <w:iCs/>
          <w:sz w:val="22"/>
        </w:rPr>
        <w:t>.</w:t>
      </w:r>
    </w:p>
    <w:p w14:paraId="1857E4F0" w14:textId="77777777" w:rsidR="0062343B" w:rsidRPr="00CC2936" w:rsidRDefault="0062343B" w:rsidP="0062343B">
      <w:pPr>
        <w:pStyle w:val="ListParagraph"/>
        <w:spacing w:after="0" w:line="240" w:lineRule="auto"/>
        <w:ind w:left="990"/>
        <w:jc w:val="both"/>
        <w:rPr>
          <w:sz w:val="22"/>
        </w:rPr>
      </w:pPr>
    </w:p>
    <w:p w14:paraId="7EF68149" w14:textId="77777777" w:rsidR="0062343B" w:rsidRDefault="0062343B" w:rsidP="0062343B">
      <w:pPr>
        <w:pStyle w:val="ListParagraph"/>
        <w:numPr>
          <w:ilvl w:val="0"/>
          <w:numId w:val="34"/>
        </w:numPr>
        <w:autoSpaceDE/>
        <w:autoSpaceDN/>
        <w:adjustRightInd/>
        <w:spacing w:after="0" w:line="240" w:lineRule="auto"/>
        <w:ind w:left="630" w:hanging="630"/>
        <w:jc w:val="both"/>
        <w:textAlignment w:val="auto"/>
        <w:rPr>
          <w:sz w:val="22"/>
        </w:rPr>
      </w:pPr>
      <w:r w:rsidRPr="00BF1FEF">
        <w:rPr>
          <w:sz w:val="22"/>
          <w:szCs w:val="22"/>
        </w:rPr>
        <w:t>Section 1.2.</w:t>
      </w:r>
      <w:r>
        <w:rPr>
          <w:sz w:val="22"/>
          <w:szCs w:val="22"/>
        </w:rPr>
        <w:t xml:space="preserve">33 </w:t>
      </w:r>
      <w:r>
        <w:rPr>
          <w:sz w:val="22"/>
          <w:szCs w:val="22"/>
          <w:u w:val="single"/>
        </w:rPr>
        <w:t>CHANGES IN THE WORK</w:t>
      </w:r>
      <w:r w:rsidRPr="00BF1FEF">
        <w:rPr>
          <w:sz w:val="22"/>
          <w:szCs w:val="22"/>
        </w:rPr>
        <w:t>, is revised as follows</w:t>
      </w:r>
      <w:r w:rsidRPr="00C47AD8">
        <w:rPr>
          <w:sz w:val="22"/>
        </w:rPr>
        <w:t>:</w:t>
      </w:r>
    </w:p>
    <w:p w14:paraId="51CAB867" w14:textId="77777777" w:rsidR="0062343B" w:rsidRDefault="0062343B" w:rsidP="0062343B">
      <w:pPr>
        <w:pStyle w:val="ListParagraph"/>
        <w:spacing w:after="0" w:line="240" w:lineRule="auto"/>
        <w:ind w:left="630"/>
        <w:jc w:val="both"/>
        <w:rPr>
          <w:sz w:val="22"/>
        </w:rPr>
      </w:pPr>
    </w:p>
    <w:p w14:paraId="691138C8" w14:textId="77777777" w:rsidR="0062343B" w:rsidRPr="00BC0E0B" w:rsidRDefault="0062343B" w:rsidP="0062343B">
      <w:pPr>
        <w:pStyle w:val="ListParagraph"/>
        <w:numPr>
          <w:ilvl w:val="1"/>
          <w:numId w:val="34"/>
        </w:numPr>
        <w:autoSpaceDE/>
        <w:autoSpaceDN/>
        <w:adjustRightInd/>
        <w:spacing w:after="0" w:line="240" w:lineRule="auto"/>
        <w:ind w:left="994"/>
        <w:jc w:val="both"/>
        <w:textAlignment w:val="auto"/>
        <w:rPr>
          <w:sz w:val="22"/>
          <w:szCs w:val="22"/>
        </w:rPr>
      </w:pPr>
      <w:r w:rsidRPr="00BC0E0B">
        <w:rPr>
          <w:sz w:val="22"/>
          <w:szCs w:val="22"/>
        </w:rPr>
        <w:lastRenderedPageBreak/>
        <w:t xml:space="preserve">In Section 1.2.33.2.8 Payment for Extra Work, the first sentence </w:t>
      </w:r>
      <w:r>
        <w:rPr>
          <w:sz w:val="22"/>
          <w:szCs w:val="22"/>
        </w:rPr>
        <w:t xml:space="preserve">of the second paragraph </w:t>
      </w:r>
      <w:r w:rsidRPr="00BC0E0B">
        <w:rPr>
          <w:sz w:val="22"/>
          <w:szCs w:val="22"/>
        </w:rPr>
        <w:t xml:space="preserve">beginning with </w:t>
      </w:r>
      <w:r w:rsidRPr="00BC0E0B">
        <w:rPr>
          <w:i/>
          <w:iCs/>
          <w:sz w:val="22"/>
          <w:szCs w:val="22"/>
        </w:rPr>
        <w:t>“The Contractor is required …”</w:t>
      </w:r>
      <w:r w:rsidRPr="00BC0E0B">
        <w:rPr>
          <w:sz w:val="22"/>
          <w:szCs w:val="22"/>
        </w:rPr>
        <w:t xml:space="preserve"> is replaced with </w:t>
      </w:r>
      <w:r w:rsidRPr="00BC0E0B">
        <w:rPr>
          <w:i/>
          <w:iCs/>
          <w:sz w:val="22"/>
          <w:szCs w:val="22"/>
        </w:rPr>
        <w:t>“The Contractor is required to submit its request for payment for extra work with the Proper Invoice following the twenty-fifth</w:t>
      </w:r>
      <w:r w:rsidRPr="00BC0E0B">
        <w:rPr>
          <w:i/>
          <w:iCs/>
          <w:sz w:val="22"/>
          <w:szCs w:val="22"/>
          <w:vertAlign w:val="superscript"/>
        </w:rPr>
        <w:t xml:space="preserve"> </w:t>
      </w:r>
      <w:r w:rsidRPr="00BC0E0B">
        <w:rPr>
          <w:i/>
          <w:iCs/>
          <w:sz w:val="22"/>
          <w:szCs w:val="22"/>
        </w:rPr>
        <w:t>calendar day of the month in which such extra work was performed.”</w:t>
      </w:r>
    </w:p>
    <w:p w14:paraId="54BC4A0A" w14:textId="77777777" w:rsidR="0062343B" w:rsidRDefault="0062343B" w:rsidP="0062343B">
      <w:pPr>
        <w:spacing w:after="0" w:line="240" w:lineRule="auto"/>
        <w:jc w:val="both"/>
        <w:rPr>
          <w:sz w:val="22"/>
          <w:szCs w:val="22"/>
        </w:rPr>
      </w:pPr>
    </w:p>
    <w:p w14:paraId="5671455C" w14:textId="77777777" w:rsidR="0062343B" w:rsidRDefault="0062343B" w:rsidP="0062343B">
      <w:pPr>
        <w:pStyle w:val="ListParagraph"/>
        <w:numPr>
          <w:ilvl w:val="0"/>
          <w:numId w:val="34"/>
        </w:numPr>
        <w:autoSpaceDE/>
        <w:autoSpaceDN/>
        <w:adjustRightInd/>
        <w:spacing w:after="0" w:line="240" w:lineRule="auto"/>
        <w:ind w:left="630" w:hanging="630"/>
        <w:jc w:val="both"/>
        <w:textAlignment w:val="auto"/>
        <w:rPr>
          <w:sz w:val="22"/>
        </w:rPr>
      </w:pPr>
      <w:r w:rsidRPr="00BF1FEF">
        <w:rPr>
          <w:sz w:val="22"/>
          <w:szCs w:val="22"/>
        </w:rPr>
        <w:t>Section 1.2.</w:t>
      </w:r>
      <w:r>
        <w:rPr>
          <w:sz w:val="22"/>
          <w:szCs w:val="22"/>
        </w:rPr>
        <w:t xml:space="preserve">46 </w:t>
      </w:r>
      <w:r>
        <w:rPr>
          <w:sz w:val="22"/>
          <w:szCs w:val="22"/>
          <w:u w:val="single"/>
        </w:rPr>
        <w:t>PAYMENT AND HOLDBACK</w:t>
      </w:r>
      <w:r w:rsidRPr="00BF1FEF">
        <w:rPr>
          <w:sz w:val="22"/>
          <w:szCs w:val="22"/>
        </w:rPr>
        <w:t>, is revised as follows</w:t>
      </w:r>
      <w:r w:rsidRPr="00C47AD8">
        <w:rPr>
          <w:sz w:val="22"/>
        </w:rPr>
        <w:t>:</w:t>
      </w:r>
    </w:p>
    <w:p w14:paraId="527ED18F" w14:textId="77777777" w:rsidR="0062343B" w:rsidRDefault="0062343B" w:rsidP="0062343B">
      <w:pPr>
        <w:pStyle w:val="ListParagraph"/>
        <w:spacing w:after="0" w:line="240" w:lineRule="auto"/>
        <w:ind w:left="630"/>
        <w:jc w:val="both"/>
        <w:rPr>
          <w:sz w:val="22"/>
        </w:rPr>
      </w:pPr>
    </w:p>
    <w:p w14:paraId="663A2D71" w14:textId="77777777" w:rsidR="0062343B" w:rsidRPr="006D543D" w:rsidRDefault="0062343B" w:rsidP="0062343B">
      <w:pPr>
        <w:pStyle w:val="ListParagraph"/>
        <w:numPr>
          <w:ilvl w:val="1"/>
          <w:numId w:val="34"/>
        </w:numPr>
        <w:autoSpaceDE/>
        <w:autoSpaceDN/>
        <w:adjustRightInd/>
        <w:spacing w:after="0" w:line="240" w:lineRule="auto"/>
        <w:ind w:left="994"/>
        <w:jc w:val="both"/>
        <w:textAlignment w:val="auto"/>
        <w:rPr>
          <w:sz w:val="22"/>
          <w:szCs w:val="22"/>
        </w:rPr>
      </w:pPr>
      <w:r w:rsidRPr="006D543D">
        <w:rPr>
          <w:sz w:val="22"/>
          <w:szCs w:val="22"/>
        </w:rPr>
        <w:t xml:space="preserve">In Section 1.2.46.1 Payment, the second paragraph beginning with </w:t>
      </w:r>
      <w:r w:rsidRPr="006D543D">
        <w:rPr>
          <w:i/>
          <w:iCs/>
          <w:sz w:val="22"/>
          <w:szCs w:val="22"/>
        </w:rPr>
        <w:t>“The Consultant will prepare …”</w:t>
      </w:r>
      <w:r w:rsidRPr="006D543D">
        <w:rPr>
          <w:sz w:val="22"/>
          <w:szCs w:val="22"/>
        </w:rPr>
        <w:t xml:space="preserve"> is replaced with the following:</w:t>
      </w:r>
    </w:p>
    <w:p w14:paraId="60EE47BA" w14:textId="77777777" w:rsidR="0062343B" w:rsidRPr="006D543D" w:rsidRDefault="0062343B" w:rsidP="0062343B">
      <w:pPr>
        <w:pStyle w:val="ListParagraph"/>
        <w:spacing w:after="0" w:line="240" w:lineRule="auto"/>
        <w:ind w:left="994"/>
        <w:jc w:val="both"/>
        <w:rPr>
          <w:sz w:val="22"/>
          <w:szCs w:val="22"/>
        </w:rPr>
      </w:pPr>
    </w:p>
    <w:p w14:paraId="30429831" w14:textId="77777777" w:rsidR="0062343B" w:rsidRPr="006D543D" w:rsidRDefault="0062343B" w:rsidP="0062343B">
      <w:pPr>
        <w:spacing w:after="0" w:line="240" w:lineRule="auto"/>
        <w:ind w:left="994"/>
        <w:rPr>
          <w:i/>
          <w:iCs/>
          <w:sz w:val="22"/>
          <w:szCs w:val="22"/>
        </w:rPr>
      </w:pPr>
      <w:r w:rsidRPr="006D543D">
        <w:rPr>
          <w:i/>
          <w:iCs/>
          <w:sz w:val="22"/>
          <w:szCs w:val="22"/>
        </w:rPr>
        <w:t>After the Work commences and every month thereafter:</w:t>
      </w:r>
    </w:p>
    <w:p w14:paraId="05D55FAE" w14:textId="77777777" w:rsidR="0062343B" w:rsidRPr="006D543D" w:rsidRDefault="0062343B" w:rsidP="0062343B">
      <w:pPr>
        <w:spacing w:after="0" w:line="240" w:lineRule="auto"/>
        <w:ind w:left="994"/>
        <w:rPr>
          <w:i/>
          <w:iCs/>
          <w:sz w:val="22"/>
          <w:szCs w:val="22"/>
        </w:rPr>
      </w:pPr>
    </w:p>
    <w:p w14:paraId="65C43B73" w14:textId="77777777" w:rsidR="0062343B" w:rsidRDefault="0062343B" w:rsidP="0062343B">
      <w:pPr>
        <w:pStyle w:val="ListParagraph"/>
        <w:numPr>
          <w:ilvl w:val="0"/>
          <w:numId w:val="37"/>
        </w:numPr>
        <w:spacing w:after="0" w:line="240" w:lineRule="auto"/>
        <w:ind w:left="1764"/>
        <w:textAlignment w:val="auto"/>
        <w:rPr>
          <w:i/>
          <w:iCs/>
          <w:sz w:val="22"/>
          <w:szCs w:val="22"/>
        </w:rPr>
      </w:pPr>
      <w:r w:rsidRPr="006D543D">
        <w:rPr>
          <w:i/>
          <w:iCs/>
          <w:sz w:val="22"/>
          <w:szCs w:val="22"/>
        </w:rPr>
        <w:t>The Consultant will provide the Contractor a Progress Estimate after the twenty</w:t>
      </w:r>
      <w:r w:rsidRPr="006D543D">
        <w:rPr>
          <w:i/>
          <w:iCs/>
          <w:sz w:val="22"/>
          <w:szCs w:val="22"/>
        </w:rPr>
        <w:noBreakHyphen/>
        <w:t>fifth calendar day of a month in which Work has been performed.</w:t>
      </w:r>
    </w:p>
    <w:p w14:paraId="34298F2F" w14:textId="77777777" w:rsidR="0062343B" w:rsidRPr="006D543D" w:rsidRDefault="0062343B" w:rsidP="0062343B">
      <w:pPr>
        <w:pStyle w:val="ListParagraph"/>
        <w:spacing w:after="0" w:line="240" w:lineRule="auto"/>
        <w:ind w:left="1764"/>
        <w:rPr>
          <w:i/>
          <w:iCs/>
          <w:sz w:val="22"/>
          <w:szCs w:val="22"/>
        </w:rPr>
      </w:pPr>
    </w:p>
    <w:p w14:paraId="3966C0D6" w14:textId="77777777" w:rsidR="0062343B" w:rsidRDefault="0062343B" w:rsidP="0062343B">
      <w:pPr>
        <w:pStyle w:val="ListParagraph"/>
        <w:numPr>
          <w:ilvl w:val="0"/>
          <w:numId w:val="37"/>
        </w:numPr>
        <w:spacing w:after="0" w:line="240" w:lineRule="auto"/>
        <w:ind w:left="1764"/>
        <w:textAlignment w:val="auto"/>
        <w:rPr>
          <w:i/>
          <w:iCs/>
          <w:sz w:val="22"/>
          <w:szCs w:val="22"/>
        </w:rPr>
      </w:pPr>
      <w:r w:rsidRPr="006D543D">
        <w:rPr>
          <w:i/>
          <w:iCs/>
          <w:sz w:val="22"/>
          <w:szCs w:val="22"/>
        </w:rPr>
        <w:t>The Contractor shall submit Proper Invoices for the Department’s review to the person identified in the Contract Forms under the subsection for Addresses of Parties.  The Contractor shall copy the Consultant on its Proper Invoice submissions.  In addition to the requirements of the Public Works Act:</w:t>
      </w:r>
    </w:p>
    <w:p w14:paraId="3600A583" w14:textId="77777777" w:rsidR="0062343B" w:rsidRPr="006D543D" w:rsidRDefault="0062343B" w:rsidP="0062343B">
      <w:pPr>
        <w:pStyle w:val="ListParagraph"/>
        <w:spacing w:after="0" w:line="240" w:lineRule="auto"/>
        <w:ind w:left="1764"/>
        <w:rPr>
          <w:i/>
          <w:iCs/>
          <w:sz w:val="22"/>
          <w:szCs w:val="22"/>
        </w:rPr>
      </w:pPr>
    </w:p>
    <w:p w14:paraId="51DA6F46" w14:textId="77777777" w:rsidR="0062343B" w:rsidRDefault="0062343B" w:rsidP="0062343B">
      <w:pPr>
        <w:pStyle w:val="ListParagraph"/>
        <w:numPr>
          <w:ilvl w:val="0"/>
          <w:numId w:val="35"/>
        </w:numPr>
        <w:spacing w:after="0" w:line="240" w:lineRule="auto"/>
        <w:ind w:left="2484"/>
        <w:textAlignment w:val="auto"/>
        <w:rPr>
          <w:i/>
          <w:iCs/>
          <w:sz w:val="22"/>
          <w:szCs w:val="22"/>
        </w:rPr>
      </w:pPr>
      <w:r w:rsidRPr="006D543D">
        <w:rPr>
          <w:i/>
          <w:iCs/>
          <w:sz w:val="22"/>
          <w:szCs w:val="22"/>
        </w:rPr>
        <w:t>The period of a Proper Invoice shall be for Work performed from the twenty-sixth calendar day of a month to the twenty-fifth calendar day of the month thereafter unless agreed to otherwise by the Department.</w:t>
      </w:r>
    </w:p>
    <w:p w14:paraId="43EBC4B8" w14:textId="77777777" w:rsidR="0062343B" w:rsidRPr="006D543D" w:rsidRDefault="0062343B" w:rsidP="0062343B">
      <w:pPr>
        <w:pStyle w:val="ListParagraph"/>
        <w:spacing w:after="0" w:line="240" w:lineRule="auto"/>
        <w:ind w:left="2484"/>
        <w:rPr>
          <w:i/>
          <w:iCs/>
          <w:sz w:val="22"/>
          <w:szCs w:val="22"/>
        </w:rPr>
      </w:pPr>
    </w:p>
    <w:p w14:paraId="46E69D16" w14:textId="77777777" w:rsidR="0062343B" w:rsidRDefault="0062343B" w:rsidP="0062343B">
      <w:pPr>
        <w:pStyle w:val="ListParagraph"/>
        <w:numPr>
          <w:ilvl w:val="0"/>
          <w:numId w:val="35"/>
        </w:numPr>
        <w:spacing w:after="0" w:line="240" w:lineRule="auto"/>
        <w:ind w:left="2484"/>
        <w:textAlignment w:val="auto"/>
        <w:rPr>
          <w:i/>
          <w:iCs/>
          <w:sz w:val="22"/>
          <w:szCs w:val="22"/>
        </w:rPr>
      </w:pPr>
      <w:r w:rsidRPr="006D543D">
        <w:rPr>
          <w:i/>
          <w:iCs/>
          <w:sz w:val="22"/>
          <w:szCs w:val="22"/>
        </w:rPr>
        <w:t>Proper Invoices shall be submitted on the forms provided to the Contractor by the Department, a template of which is contained in the Contract Forms</w:t>
      </w:r>
      <w:r>
        <w:rPr>
          <w:i/>
          <w:iCs/>
          <w:sz w:val="22"/>
          <w:szCs w:val="22"/>
        </w:rPr>
        <w:t>.</w:t>
      </w:r>
    </w:p>
    <w:p w14:paraId="18253175" w14:textId="77777777" w:rsidR="0062343B" w:rsidRPr="006D543D" w:rsidRDefault="0062343B" w:rsidP="0062343B">
      <w:pPr>
        <w:pStyle w:val="ListParagraph"/>
        <w:spacing w:after="0" w:line="240" w:lineRule="auto"/>
        <w:rPr>
          <w:i/>
          <w:iCs/>
          <w:sz w:val="22"/>
          <w:szCs w:val="22"/>
        </w:rPr>
      </w:pPr>
    </w:p>
    <w:p w14:paraId="65E70E86" w14:textId="77777777" w:rsidR="0062343B" w:rsidRPr="006D543D" w:rsidRDefault="0062343B" w:rsidP="0062343B">
      <w:pPr>
        <w:pStyle w:val="ListParagraph"/>
        <w:numPr>
          <w:ilvl w:val="0"/>
          <w:numId w:val="35"/>
        </w:numPr>
        <w:spacing w:after="0" w:line="240" w:lineRule="auto"/>
        <w:ind w:left="2484"/>
        <w:textAlignment w:val="auto"/>
        <w:rPr>
          <w:i/>
          <w:iCs/>
          <w:sz w:val="22"/>
          <w:szCs w:val="22"/>
        </w:rPr>
      </w:pPr>
      <w:r w:rsidRPr="006D543D">
        <w:rPr>
          <w:i/>
          <w:iCs/>
          <w:sz w:val="22"/>
          <w:szCs w:val="22"/>
        </w:rPr>
        <w:t>Proper Invoices shall not include withholdings as these will be addressed by the Department in the Payment Statement.</w:t>
      </w:r>
    </w:p>
    <w:p w14:paraId="6C250D48" w14:textId="77777777" w:rsidR="0062343B" w:rsidRPr="006D543D" w:rsidRDefault="0062343B" w:rsidP="0062343B">
      <w:pPr>
        <w:pStyle w:val="ListParagraph"/>
        <w:spacing w:after="0" w:line="240" w:lineRule="auto"/>
        <w:ind w:left="2124"/>
        <w:rPr>
          <w:i/>
          <w:iCs/>
          <w:sz w:val="22"/>
          <w:szCs w:val="22"/>
        </w:rPr>
      </w:pPr>
      <w:r w:rsidRPr="006D543D">
        <w:rPr>
          <w:i/>
          <w:iCs/>
          <w:sz w:val="22"/>
          <w:szCs w:val="22"/>
        </w:rPr>
        <w:t xml:space="preserve">    </w:t>
      </w:r>
    </w:p>
    <w:p w14:paraId="647B84DB" w14:textId="77777777" w:rsidR="0062343B" w:rsidRPr="006D543D" w:rsidRDefault="0062343B" w:rsidP="0062343B">
      <w:pPr>
        <w:pStyle w:val="ListParagraph"/>
        <w:numPr>
          <w:ilvl w:val="0"/>
          <w:numId w:val="38"/>
        </w:numPr>
        <w:spacing w:after="0" w:line="240" w:lineRule="auto"/>
        <w:ind w:left="1714"/>
        <w:textAlignment w:val="auto"/>
        <w:rPr>
          <w:i/>
          <w:iCs/>
          <w:sz w:val="22"/>
          <w:szCs w:val="22"/>
        </w:rPr>
      </w:pPr>
      <w:r w:rsidRPr="006D543D">
        <w:rPr>
          <w:i/>
          <w:iCs/>
          <w:sz w:val="22"/>
          <w:szCs w:val="22"/>
        </w:rPr>
        <w:t xml:space="preserve">Upon the Department receiving a Proper Invoice from the Contractor, the Consultant may request that the Contractor provide its measurements, details of estimates and contractual explanations </w:t>
      </w:r>
      <w:r>
        <w:rPr>
          <w:i/>
          <w:iCs/>
          <w:sz w:val="22"/>
          <w:szCs w:val="22"/>
        </w:rPr>
        <w:t xml:space="preserve">if any, </w:t>
      </w:r>
      <w:r w:rsidRPr="006D543D">
        <w:rPr>
          <w:i/>
          <w:iCs/>
          <w:sz w:val="22"/>
          <w:szCs w:val="22"/>
        </w:rPr>
        <w:t>for and of the Work for which payment is being requested.</w:t>
      </w:r>
    </w:p>
    <w:p w14:paraId="71A4AF94" w14:textId="77777777" w:rsidR="0062343B" w:rsidRPr="006D543D" w:rsidRDefault="0062343B" w:rsidP="0062343B">
      <w:pPr>
        <w:pStyle w:val="ListParagraph"/>
        <w:spacing w:after="0" w:line="240" w:lineRule="auto"/>
        <w:ind w:left="1714"/>
        <w:rPr>
          <w:i/>
          <w:iCs/>
          <w:sz w:val="22"/>
          <w:szCs w:val="22"/>
        </w:rPr>
      </w:pPr>
    </w:p>
    <w:p w14:paraId="55F0C1CB" w14:textId="77777777" w:rsidR="0062343B" w:rsidRPr="006D543D" w:rsidRDefault="0062343B" w:rsidP="0062343B">
      <w:pPr>
        <w:pStyle w:val="ListParagraph"/>
        <w:numPr>
          <w:ilvl w:val="0"/>
          <w:numId w:val="38"/>
        </w:numPr>
        <w:spacing w:after="0" w:line="240" w:lineRule="auto"/>
        <w:ind w:left="1714"/>
        <w:textAlignment w:val="auto"/>
        <w:rPr>
          <w:i/>
          <w:iCs/>
          <w:sz w:val="22"/>
          <w:szCs w:val="22"/>
        </w:rPr>
      </w:pPr>
      <w:r w:rsidRPr="006D543D">
        <w:rPr>
          <w:i/>
          <w:iCs/>
          <w:sz w:val="22"/>
          <w:szCs w:val="22"/>
        </w:rPr>
        <w:t>The Department will provide the Contractor a Payment Statement before paying the Contractor, indicating the portion of the Proper Invoice that the Department disputes, if any, and the withholdings in accordance with the Contract.  The Department will pay the amount indicated as payable in the Payment Statement within 28 days of receiving from the Contractor the Proper Invoice in which the Payment Statement is in response to.</w:t>
      </w:r>
    </w:p>
    <w:p w14:paraId="10475A7F" w14:textId="77777777" w:rsidR="0062343B" w:rsidRPr="006D543D" w:rsidRDefault="0062343B" w:rsidP="0062343B">
      <w:pPr>
        <w:pStyle w:val="ListParagraph"/>
        <w:spacing w:after="0" w:line="240" w:lineRule="auto"/>
        <w:ind w:left="1714"/>
        <w:rPr>
          <w:i/>
          <w:iCs/>
          <w:sz w:val="22"/>
          <w:szCs w:val="22"/>
        </w:rPr>
      </w:pPr>
    </w:p>
    <w:p w14:paraId="1C677422" w14:textId="77777777" w:rsidR="0062343B" w:rsidRPr="006D543D" w:rsidRDefault="0062343B" w:rsidP="0062343B">
      <w:pPr>
        <w:pStyle w:val="ListParagraph"/>
        <w:numPr>
          <w:ilvl w:val="0"/>
          <w:numId w:val="38"/>
        </w:numPr>
        <w:spacing w:after="0" w:line="240" w:lineRule="auto"/>
        <w:ind w:left="1714"/>
        <w:textAlignment w:val="auto"/>
        <w:rPr>
          <w:i/>
          <w:iCs/>
          <w:sz w:val="22"/>
          <w:szCs w:val="22"/>
        </w:rPr>
      </w:pPr>
      <w:r w:rsidRPr="006D543D">
        <w:rPr>
          <w:i/>
          <w:iCs/>
          <w:sz w:val="22"/>
          <w:szCs w:val="22"/>
        </w:rPr>
        <w:t>The Contractor may revise a Proper Invoice provided the Department agrees to accepting a revised Proper Invoice.</w:t>
      </w:r>
    </w:p>
    <w:p w14:paraId="47DF0675" w14:textId="77777777" w:rsidR="0062343B" w:rsidRPr="006D543D" w:rsidRDefault="0062343B" w:rsidP="0062343B">
      <w:pPr>
        <w:spacing w:after="0" w:line="240" w:lineRule="auto"/>
        <w:ind w:left="994"/>
        <w:rPr>
          <w:i/>
          <w:iCs/>
          <w:sz w:val="22"/>
          <w:szCs w:val="22"/>
        </w:rPr>
      </w:pPr>
    </w:p>
    <w:p w14:paraId="520782A1" w14:textId="77777777" w:rsidR="0062343B" w:rsidRPr="006D543D" w:rsidRDefault="0062343B" w:rsidP="0062343B">
      <w:pPr>
        <w:spacing w:after="0" w:line="240" w:lineRule="auto"/>
        <w:ind w:left="994"/>
        <w:rPr>
          <w:i/>
          <w:iCs/>
          <w:sz w:val="22"/>
          <w:szCs w:val="22"/>
        </w:rPr>
      </w:pPr>
      <w:r w:rsidRPr="006D543D">
        <w:rPr>
          <w:i/>
          <w:iCs/>
          <w:sz w:val="22"/>
          <w:szCs w:val="22"/>
        </w:rPr>
        <w:t xml:space="preserve">Should the Contractor wish to deliver a notice of a claim under Section 14(2) of the Public Works Act, the Contractor must deliver a Notice of Public Works Act Claim statement in accordance with Section 14(2) of the Public Works Act, a sample form of which is contained in the Contract Forms.  An electronic form is available at https://www.alberta.ca/transportation-and-economic-corridors.  A completed statement must be delivered by registered mail to the office identified in the sample form.  Should the Contractor wish to refer a dispute to adjudication under the Public Works Act subsequent to a Notice of Public Works Act Claim, it must do so in accordance with the Public Works Act </w:t>
      </w:r>
      <w:r w:rsidRPr="006D543D">
        <w:rPr>
          <w:i/>
          <w:iCs/>
          <w:sz w:val="22"/>
          <w:szCs w:val="22"/>
        </w:rPr>
        <w:lastRenderedPageBreak/>
        <w:t>and the procedures established by the Nominating Authority as designated under the Public Works Act.</w:t>
      </w:r>
    </w:p>
    <w:p w14:paraId="052B4950" w14:textId="77777777" w:rsidR="0062343B" w:rsidRPr="006D543D" w:rsidRDefault="0062343B" w:rsidP="0062343B">
      <w:pPr>
        <w:spacing w:after="0" w:line="240" w:lineRule="auto"/>
        <w:ind w:left="994"/>
        <w:rPr>
          <w:i/>
          <w:iCs/>
          <w:sz w:val="22"/>
          <w:szCs w:val="22"/>
        </w:rPr>
      </w:pPr>
    </w:p>
    <w:p w14:paraId="68A827F9" w14:textId="77777777" w:rsidR="0062343B" w:rsidRPr="006D543D" w:rsidRDefault="0062343B" w:rsidP="0062343B">
      <w:pPr>
        <w:spacing w:after="0" w:line="240" w:lineRule="auto"/>
        <w:ind w:left="994"/>
        <w:rPr>
          <w:i/>
          <w:iCs/>
          <w:sz w:val="22"/>
          <w:szCs w:val="22"/>
        </w:rPr>
      </w:pPr>
      <w:r w:rsidRPr="006D543D">
        <w:rPr>
          <w:i/>
          <w:iCs/>
          <w:sz w:val="22"/>
          <w:szCs w:val="22"/>
        </w:rPr>
        <w:t>After the issuance of a Construction Completion Certificate or Conditional Construction Completion Certificate the Department will issue a Final Reconciliation to the Contractor.</w:t>
      </w:r>
    </w:p>
    <w:p w14:paraId="16127837" w14:textId="77777777" w:rsidR="0062343B" w:rsidRPr="006D543D" w:rsidRDefault="0062343B" w:rsidP="0062343B">
      <w:pPr>
        <w:spacing w:after="0" w:line="240" w:lineRule="auto"/>
        <w:ind w:left="994"/>
        <w:rPr>
          <w:i/>
          <w:iCs/>
          <w:sz w:val="22"/>
          <w:szCs w:val="22"/>
        </w:rPr>
      </w:pPr>
    </w:p>
    <w:p w14:paraId="5D9A9A04" w14:textId="77777777" w:rsidR="0062343B" w:rsidRDefault="0062343B" w:rsidP="0062343B">
      <w:pPr>
        <w:pStyle w:val="ListParagraph"/>
        <w:numPr>
          <w:ilvl w:val="0"/>
          <w:numId w:val="36"/>
        </w:numPr>
        <w:spacing w:after="0" w:line="240" w:lineRule="auto"/>
        <w:ind w:left="2074"/>
        <w:textAlignment w:val="auto"/>
        <w:rPr>
          <w:i/>
          <w:iCs/>
          <w:sz w:val="22"/>
          <w:szCs w:val="22"/>
        </w:rPr>
      </w:pPr>
      <w:r w:rsidRPr="006D543D">
        <w:rPr>
          <w:i/>
          <w:iCs/>
          <w:sz w:val="22"/>
          <w:szCs w:val="22"/>
        </w:rPr>
        <w:t>If it is found from the Final Reconciliation that the Contractor has been underpaid, the Contractor shall submit a Proper Invoice for the underpayment within 30 days.</w:t>
      </w:r>
    </w:p>
    <w:p w14:paraId="0F136299" w14:textId="77777777" w:rsidR="0062343B" w:rsidRPr="006D543D" w:rsidRDefault="0062343B" w:rsidP="0062343B">
      <w:pPr>
        <w:pStyle w:val="ListParagraph"/>
        <w:spacing w:after="0" w:line="240" w:lineRule="auto"/>
        <w:ind w:left="2074"/>
        <w:rPr>
          <w:i/>
          <w:iCs/>
          <w:sz w:val="22"/>
          <w:szCs w:val="22"/>
        </w:rPr>
      </w:pPr>
    </w:p>
    <w:p w14:paraId="75BA4492" w14:textId="77777777" w:rsidR="0062343B" w:rsidRPr="006D543D" w:rsidRDefault="0062343B" w:rsidP="0062343B">
      <w:pPr>
        <w:pStyle w:val="ListParagraph"/>
        <w:numPr>
          <w:ilvl w:val="0"/>
          <w:numId w:val="36"/>
        </w:numPr>
        <w:spacing w:after="0" w:line="240" w:lineRule="auto"/>
        <w:ind w:left="2074"/>
        <w:textAlignment w:val="auto"/>
        <w:rPr>
          <w:i/>
          <w:iCs/>
          <w:sz w:val="22"/>
          <w:szCs w:val="22"/>
        </w:rPr>
      </w:pPr>
      <w:r w:rsidRPr="006D543D">
        <w:rPr>
          <w:i/>
          <w:iCs/>
          <w:sz w:val="22"/>
          <w:szCs w:val="22"/>
        </w:rPr>
        <w:t>If it is found from the Final Reconciliation that the Contractor has been overpaid, the Department will deduct the overpayment from money due the Contractor.  If there are insufficient funds to cover an overpayment, the Department may invoice the Contractor. The Contractor must promptly pay the amount invoiced within 60 days.</w:t>
      </w:r>
    </w:p>
    <w:p w14:paraId="05E58FB3" w14:textId="77777777" w:rsidR="0062343B" w:rsidRPr="006D543D" w:rsidRDefault="0062343B" w:rsidP="0062343B">
      <w:pPr>
        <w:spacing w:after="0" w:line="240" w:lineRule="auto"/>
        <w:ind w:left="994"/>
        <w:rPr>
          <w:i/>
          <w:iCs/>
          <w:sz w:val="22"/>
          <w:szCs w:val="22"/>
        </w:rPr>
      </w:pPr>
    </w:p>
    <w:p w14:paraId="52C686D7" w14:textId="77777777" w:rsidR="0062343B" w:rsidRDefault="0062343B" w:rsidP="0062343B">
      <w:pPr>
        <w:spacing w:after="0" w:line="240" w:lineRule="auto"/>
        <w:ind w:left="994"/>
        <w:jc w:val="both"/>
        <w:rPr>
          <w:i/>
          <w:iCs/>
          <w:sz w:val="22"/>
          <w:szCs w:val="22"/>
        </w:rPr>
      </w:pPr>
      <w:r w:rsidRPr="00902826">
        <w:rPr>
          <w:i/>
          <w:iCs/>
          <w:sz w:val="22"/>
          <w:szCs w:val="22"/>
        </w:rPr>
        <w:t>The Department at its sole discretion may issue an Interim Reconciliation at any time prior to or after Construction Completion.</w:t>
      </w:r>
    </w:p>
    <w:p w14:paraId="252FC484" w14:textId="77777777" w:rsidR="0062343B" w:rsidRDefault="0062343B" w:rsidP="0062343B">
      <w:pPr>
        <w:spacing w:after="0" w:line="240" w:lineRule="auto"/>
        <w:ind w:left="994"/>
        <w:jc w:val="both"/>
        <w:rPr>
          <w:i/>
          <w:iCs/>
          <w:sz w:val="22"/>
          <w:szCs w:val="22"/>
        </w:rPr>
      </w:pPr>
    </w:p>
    <w:p w14:paraId="3492D0B3" w14:textId="77777777" w:rsidR="0062343B" w:rsidRPr="005C7103" w:rsidRDefault="0062343B" w:rsidP="0062343B">
      <w:pPr>
        <w:pStyle w:val="ListParagraph"/>
        <w:numPr>
          <w:ilvl w:val="1"/>
          <w:numId w:val="34"/>
        </w:numPr>
        <w:autoSpaceDE/>
        <w:autoSpaceDN/>
        <w:adjustRightInd/>
        <w:spacing w:after="0" w:line="240" w:lineRule="auto"/>
        <w:ind w:left="994"/>
        <w:jc w:val="both"/>
        <w:textAlignment w:val="auto"/>
        <w:rPr>
          <w:sz w:val="22"/>
          <w:szCs w:val="22"/>
        </w:rPr>
      </w:pPr>
      <w:r w:rsidRPr="005C7103">
        <w:rPr>
          <w:sz w:val="22"/>
          <w:szCs w:val="22"/>
        </w:rPr>
        <w:t>In Section 1.2.46.2 Holdback, the contents are replaced with the following:</w:t>
      </w:r>
    </w:p>
    <w:p w14:paraId="7F5D2735" w14:textId="77777777" w:rsidR="0062343B" w:rsidRPr="005C7103" w:rsidRDefault="0062343B" w:rsidP="0062343B">
      <w:pPr>
        <w:spacing w:after="0" w:line="240" w:lineRule="auto"/>
        <w:jc w:val="both"/>
        <w:rPr>
          <w:sz w:val="22"/>
          <w:szCs w:val="22"/>
        </w:rPr>
      </w:pPr>
    </w:p>
    <w:p w14:paraId="33B627B2" w14:textId="77777777" w:rsidR="0062343B" w:rsidRPr="005C7103" w:rsidRDefault="0062343B" w:rsidP="0062343B">
      <w:pPr>
        <w:spacing w:after="0" w:line="240" w:lineRule="auto"/>
        <w:ind w:left="994"/>
        <w:jc w:val="both"/>
        <w:rPr>
          <w:i/>
          <w:iCs/>
          <w:sz w:val="22"/>
          <w:szCs w:val="22"/>
        </w:rPr>
      </w:pPr>
      <w:r w:rsidRPr="005C7103">
        <w:rPr>
          <w:i/>
          <w:iCs/>
          <w:sz w:val="22"/>
          <w:szCs w:val="22"/>
        </w:rPr>
        <w:t>Subject to Section 1.2.46.4 Increase in Holdback, the Department will retain holdback in the amount of 5% of the amount payable to the Contractor.</w:t>
      </w:r>
    </w:p>
    <w:p w14:paraId="6E1DB2D9" w14:textId="77777777" w:rsidR="0062343B" w:rsidRDefault="0062343B" w:rsidP="0062343B">
      <w:pPr>
        <w:spacing w:after="0" w:line="240" w:lineRule="auto"/>
        <w:ind w:left="994"/>
        <w:jc w:val="both"/>
        <w:rPr>
          <w:sz w:val="22"/>
          <w:szCs w:val="22"/>
        </w:rPr>
      </w:pPr>
    </w:p>
    <w:p w14:paraId="04633136" w14:textId="77777777" w:rsidR="0062343B" w:rsidRPr="005C7103" w:rsidRDefault="0062343B" w:rsidP="0062343B">
      <w:pPr>
        <w:pStyle w:val="ListParagraph"/>
        <w:numPr>
          <w:ilvl w:val="1"/>
          <w:numId w:val="34"/>
        </w:numPr>
        <w:autoSpaceDE/>
        <w:autoSpaceDN/>
        <w:adjustRightInd/>
        <w:spacing w:after="0" w:line="240" w:lineRule="auto"/>
        <w:ind w:left="994"/>
        <w:jc w:val="both"/>
        <w:textAlignment w:val="auto"/>
        <w:rPr>
          <w:sz w:val="22"/>
          <w:szCs w:val="22"/>
        </w:rPr>
      </w:pPr>
      <w:r w:rsidRPr="005C7103">
        <w:rPr>
          <w:sz w:val="22"/>
          <w:szCs w:val="22"/>
        </w:rPr>
        <w:t>In Section 1.2.46.</w:t>
      </w:r>
      <w:r>
        <w:rPr>
          <w:sz w:val="22"/>
          <w:szCs w:val="22"/>
        </w:rPr>
        <w:t>6</w:t>
      </w:r>
      <w:r w:rsidRPr="005C7103">
        <w:rPr>
          <w:sz w:val="22"/>
          <w:szCs w:val="22"/>
        </w:rPr>
        <w:t xml:space="preserve"> </w:t>
      </w:r>
      <w:r>
        <w:rPr>
          <w:sz w:val="22"/>
          <w:szCs w:val="22"/>
        </w:rPr>
        <w:t xml:space="preserve">Release of </w:t>
      </w:r>
      <w:r w:rsidRPr="005C7103">
        <w:rPr>
          <w:sz w:val="22"/>
          <w:szCs w:val="22"/>
        </w:rPr>
        <w:t xml:space="preserve">Holdback, </w:t>
      </w:r>
      <w:r>
        <w:rPr>
          <w:sz w:val="22"/>
          <w:szCs w:val="22"/>
        </w:rPr>
        <w:t xml:space="preserve">the reference to </w:t>
      </w:r>
      <w:r w:rsidRPr="005E1CDE">
        <w:rPr>
          <w:i/>
          <w:iCs/>
          <w:sz w:val="22"/>
          <w:szCs w:val="22"/>
        </w:rPr>
        <w:t>“45 calendar days”</w:t>
      </w:r>
      <w:r>
        <w:rPr>
          <w:sz w:val="22"/>
          <w:szCs w:val="22"/>
        </w:rPr>
        <w:t xml:space="preserve"> in the first sentence is replaced with </w:t>
      </w:r>
      <w:r w:rsidRPr="005E1CDE">
        <w:rPr>
          <w:i/>
          <w:iCs/>
          <w:sz w:val="22"/>
          <w:szCs w:val="22"/>
        </w:rPr>
        <w:t>“90 calendar days”</w:t>
      </w:r>
      <w:r>
        <w:rPr>
          <w:i/>
          <w:iCs/>
          <w:sz w:val="22"/>
          <w:szCs w:val="22"/>
        </w:rPr>
        <w:t>.</w:t>
      </w:r>
    </w:p>
    <w:p w14:paraId="6C639A30" w14:textId="77777777" w:rsidR="0062343B" w:rsidRPr="00BC0E0B" w:rsidRDefault="0062343B" w:rsidP="0062343B">
      <w:pPr>
        <w:spacing w:after="0" w:line="240" w:lineRule="auto"/>
        <w:jc w:val="both"/>
        <w:rPr>
          <w:sz w:val="22"/>
          <w:szCs w:val="22"/>
        </w:rPr>
      </w:pPr>
    </w:p>
    <w:p w14:paraId="2C54DB90" w14:textId="77777777" w:rsidR="0062343B" w:rsidRPr="00B03267" w:rsidRDefault="0062343B" w:rsidP="0062343B">
      <w:pPr>
        <w:tabs>
          <w:tab w:val="left" w:pos="4008"/>
        </w:tabs>
        <w:spacing w:after="0" w:line="240" w:lineRule="auto"/>
      </w:pPr>
    </w:p>
    <w:sectPr w:rsidR="0062343B" w:rsidRPr="00B03267" w:rsidSect="00C62B7A">
      <w:footerReference w:type="default" r:id="rId11"/>
      <w:footerReference w:type="first" r:id="rId12"/>
      <w:type w:val="continuous"/>
      <w:pgSz w:w="12240" w:h="15840"/>
      <w:pgMar w:top="288" w:right="1123" w:bottom="230" w:left="1166"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7962" w14:textId="77777777" w:rsidR="00923C44" w:rsidRDefault="00923C44" w:rsidP="00EB6203">
      <w:r>
        <w:separator/>
      </w:r>
    </w:p>
  </w:endnote>
  <w:endnote w:type="continuationSeparator" w:id="0">
    <w:p w14:paraId="3A642436" w14:textId="77777777" w:rsidR="00923C44" w:rsidRDefault="00923C44"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0E7A" w14:textId="77777777" w:rsidR="00B03267" w:rsidRDefault="00B03267" w:rsidP="00835009">
    <w:pPr>
      <w:spacing w:after="80" w:line="240" w:lineRule="auto"/>
    </w:pPr>
  </w:p>
  <w:p w14:paraId="06DE4833" w14:textId="2D85E20C" w:rsidR="00B03267" w:rsidRDefault="00B03267" w:rsidP="00B03267">
    <w:pPr>
      <w:pStyle w:val="Footer"/>
      <w:rPr>
        <w:sz w:val="20"/>
        <w:szCs w:val="20"/>
      </w:rPr>
    </w:pPr>
    <w:r w:rsidRPr="003C6398">
      <w:rPr>
        <w:sz w:val="20"/>
        <w:szCs w:val="20"/>
      </w:rPr>
      <w:t>©202</w:t>
    </w:r>
    <w:r w:rsidR="0062343B">
      <w:rPr>
        <w:sz w:val="20"/>
        <w:szCs w:val="20"/>
      </w:rPr>
      <w:t>5</w:t>
    </w:r>
    <w:r w:rsidRPr="003C6398">
      <w:rPr>
        <w:sz w:val="20"/>
        <w:szCs w:val="20"/>
      </w:rPr>
      <w:t xml:space="preserve"> Government of Alberta | </w:t>
    </w:r>
    <w:r w:rsidR="0062343B">
      <w:rPr>
        <w:sz w:val="20"/>
        <w:szCs w:val="20"/>
      </w:rPr>
      <w:t>May</w:t>
    </w:r>
    <w:r w:rsidRPr="003C6398">
      <w:rPr>
        <w:sz w:val="20"/>
        <w:szCs w:val="20"/>
      </w:rPr>
      <w:t xml:space="preserve"> 202</w:t>
    </w:r>
    <w:r w:rsidR="0062343B">
      <w:rPr>
        <w:sz w:val="20"/>
        <w:szCs w:val="20"/>
      </w:rPr>
      <w:t>5</w:t>
    </w:r>
    <w:r w:rsidRPr="003C6398">
      <w:rPr>
        <w:sz w:val="20"/>
        <w:szCs w:val="20"/>
      </w:rPr>
      <w:t xml:space="preserve"> | Transportation and Economic Corridors</w:t>
    </w:r>
  </w:p>
  <w:p w14:paraId="6E8071E5" w14:textId="02D61486" w:rsidR="0027121C" w:rsidRPr="0027121C" w:rsidRDefault="006F02A9" w:rsidP="00835009">
    <w:pPr>
      <w:spacing w:after="80" w:line="240" w:lineRule="auto"/>
    </w:pPr>
    <w:r>
      <w:rPr>
        <w:rFonts w:cs="HelveticaNeueLT Std Cn"/>
        <w:noProof/>
        <w:color w:val="36424A"/>
        <w:sz w:val="14"/>
        <w:szCs w:val="16"/>
        <w:lang w:val="en-CA" w:eastAsia="en-CA"/>
      </w:rPr>
      <mc:AlternateContent>
        <mc:Choice Requires="wps">
          <w:drawing>
            <wp:anchor distT="0" distB="0" distL="114300" distR="114300" simplePos="0" relativeHeight="251659264" behindDoc="0" locked="0" layoutInCell="0" allowOverlap="1" wp14:anchorId="057DD407" wp14:editId="40BA00ED">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DD407" id="_x0000_t202" coordsize="21600,21600" o:spt="202" path="m,l,21600r21600,l21600,xe">
              <v:stroke joinstyle="miter"/>
              <v:path gradientshapeok="t" o:connecttype="rect"/>
            </v:shapetype>
            <v:shape id="MSIPCM6fb24cbc965e5167b6ca14c2"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v:textbox>
              <w10:wrap anchorx="page" anchory="page"/>
            </v:shape>
          </w:pict>
        </mc:Fallback>
      </mc:AlternateContent>
    </w:r>
    <w:r w:rsidR="005B596D" w:rsidRPr="0027121C">
      <w:rPr>
        <w:rFonts w:cs="HelveticaNeueLT Std Cn"/>
        <w:noProof/>
        <w:color w:val="36424A"/>
        <w:sz w:val="14"/>
        <w:szCs w:val="16"/>
        <w:lang w:val="en-CA" w:eastAsia="en-CA"/>
      </w:rPr>
      <w:drawing>
        <wp:anchor distT="0" distB="0" distL="114300" distR="114300" simplePos="0" relativeHeight="251657216" behindDoc="0" locked="0" layoutInCell="1" allowOverlap="1" wp14:anchorId="5A2F4D3F" wp14:editId="63B3545C">
          <wp:simplePos x="0" y="0"/>
          <wp:positionH relativeFrom="column">
            <wp:posOffset>5257800</wp:posOffset>
          </wp:positionH>
          <wp:positionV relativeFrom="page">
            <wp:posOffset>9401810</wp:posOffset>
          </wp:positionV>
          <wp:extent cx="1143000" cy="3200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65D1C36F" w14:textId="77777777" w:rsidR="005B596D" w:rsidRPr="003424DF" w:rsidRDefault="005B596D" w:rsidP="003424DF">
    <w:pPr>
      <w:pStyle w:val="Head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AB4" w14:textId="77777777" w:rsidR="00112BDA" w:rsidRPr="00162B41" w:rsidRDefault="00162B41" w:rsidP="00A22DB0">
    <w:pPr>
      <w:pStyle w:val="Calltoaction"/>
    </w:pPr>
    <w:r>
      <w:rPr>
        <w:noProof/>
        <w:lang w:val="en-CA" w:eastAsia="en-CA"/>
      </w:rPr>
      <w:drawing>
        <wp:anchor distT="0" distB="0" distL="114300" distR="114300" simplePos="0" relativeHeight="251655168" behindDoc="0" locked="0" layoutInCell="1" allowOverlap="1" wp14:anchorId="71B82B87" wp14:editId="416ADFA4">
          <wp:simplePos x="0" y="0"/>
          <wp:positionH relativeFrom="column">
            <wp:posOffset>5259705</wp:posOffset>
          </wp:positionH>
          <wp:positionV relativeFrom="page">
            <wp:posOffset>9462770</wp:posOffset>
          </wp:positionV>
          <wp:extent cx="1137920" cy="320040"/>
          <wp:effectExtent l="0" t="0" r="508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22AA0B44"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D2B4" w14:textId="77777777" w:rsidR="00923C44" w:rsidRPr="001522A5" w:rsidRDefault="00923C44" w:rsidP="00EB6203">
      <w:pPr>
        <w:pStyle w:val="Footer"/>
      </w:pPr>
      <w:r>
        <w:separator/>
      </w:r>
    </w:p>
  </w:footnote>
  <w:footnote w:type="continuationSeparator" w:id="0">
    <w:p w14:paraId="1C6FC32E" w14:textId="77777777" w:rsidR="00923C44" w:rsidRDefault="00923C44" w:rsidP="00EB6203">
      <w:r>
        <w:continuationSeparator/>
      </w:r>
    </w:p>
  </w:footnote>
  <w:footnote w:type="continuationNotice" w:id="1">
    <w:p w14:paraId="2E764ABB" w14:textId="77777777" w:rsidR="00923C44" w:rsidRDefault="00923C44"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111"/>
    <w:multiLevelType w:val="hybridMultilevel"/>
    <w:tmpl w:val="F5B4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747FFA"/>
    <w:multiLevelType w:val="hybridMultilevel"/>
    <w:tmpl w:val="EF4249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B303CDA"/>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ED45128"/>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13D62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AA42D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AB52469"/>
    <w:multiLevelType w:val="multilevel"/>
    <w:tmpl w:val="8ABE429E"/>
    <w:lvl w:ilvl="0">
      <w:start w:val="1"/>
      <w:numFmt w:val="decimal"/>
      <w:pStyle w:val="Style01"/>
      <w:suff w:val="space"/>
      <w:lvlText w:val="%1."/>
      <w:lvlJc w:val="left"/>
      <w:pPr>
        <w:ind w:left="360" w:hanging="360"/>
      </w:pPr>
      <w:rPr>
        <w:rFonts w:hint="default"/>
        <w:color w:val="00AAD2" w:themeColor="accent3"/>
      </w:rPr>
    </w:lvl>
    <w:lvl w:ilvl="1">
      <w:start w:val="1"/>
      <w:numFmt w:val="decimal"/>
      <w:pStyle w:val="Style02"/>
      <w:suff w:val="space"/>
      <w:lvlText w:val="%1.%2."/>
      <w:lvlJc w:val="left"/>
      <w:pPr>
        <w:ind w:left="1282" w:hanging="432"/>
      </w:pPr>
      <w:rPr>
        <w:rFonts w:hint="default"/>
        <w:b/>
        <w:i w:val="0"/>
        <w:color w:val="36424A" w:themeColor="text1"/>
        <w:sz w:val="20"/>
        <w:szCs w:val="20"/>
      </w:rPr>
    </w:lvl>
    <w:lvl w:ilvl="2">
      <w:start w:val="1"/>
      <w:numFmt w:val="decimal"/>
      <w:pStyle w:val="Style03"/>
      <w:suff w:val="space"/>
      <w:lvlText w:val="%1.%2.%3."/>
      <w:lvlJc w:val="left"/>
      <w:pPr>
        <w:ind w:left="1404" w:hanging="504"/>
      </w:pPr>
      <w:rPr>
        <w:rFonts w:hint="default"/>
        <w:b w:val="0"/>
        <w:bCs w:val="0"/>
        <w:i w:val="0"/>
        <w:iCs w:val="0"/>
        <w:caps w:val="0"/>
        <w:smallCaps w:val="0"/>
        <w:strike w:val="0"/>
        <w:dstrike w:val="0"/>
        <w:noProof w:val="0"/>
        <w:vanish w:val="0"/>
        <w:color w:val="36424A"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5807B4"/>
    <w:multiLevelType w:val="hybridMultilevel"/>
    <w:tmpl w:val="7D045E1C"/>
    <w:lvl w:ilvl="0" w:tplc="3D78A806">
      <w:start w:val="1"/>
      <w:numFmt w:val="lowerRoman"/>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15:restartNumberingAfterBreak="0">
    <w:nsid w:val="2DF2469C"/>
    <w:multiLevelType w:val="hybridMultilevel"/>
    <w:tmpl w:val="E7B819A6"/>
    <w:lvl w:ilvl="0" w:tplc="FFFFFFFF">
      <w:start w:val="1"/>
      <w:numFmt w:val="lowerRoman"/>
      <w:lvlText w:val="%1)"/>
      <w:lvlJc w:val="left"/>
      <w:pPr>
        <w:ind w:left="1080" w:hanging="720"/>
      </w:pPr>
      <w:rPr>
        <w:rFonts w:hint="default"/>
      </w:rPr>
    </w:lvl>
    <w:lvl w:ilvl="1" w:tplc="FFFFFFFF">
      <w:numFmt w:val="bullet"/>
      <w:lvlText w:val="-"/>
      <w:lvlJc w:val="left"/>
      <w:pPr>
        <w:ind w:left="720" w:hanging="360"/>
      </w:pPr>
      <w:rPr>
        <w:rFonts w:ascii="Arial" w:eastAsiaTheme="minorHAnsi"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24659"/>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AA223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B8B04E6"/>
    <w:multiLevelType w:val="hybridMultilevel"/>
    <w:tmpl w:val="403C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D0021"/>
    <w:multiLevelType w:val="hybridMultilevel"/>
    <w:tmpl w:val="33664B0A"/>
    <w:lvl w:ilvl="0" w:tplc="FFFFFFFF">
      <w:start w:val="1"/>
      <w:numFmt w:val="bullet"/>
      <w:lvlText w:val=""/>
      <w:lvlJc w:val="left"/>
      <w:pPr>
        <w:tabs>
          <w:tab w:val="num" w:pos="450"/>
        </w:tabs>
        <w:ind w:left="450" w:hanging="360"/>
      </w:pPr>
      <w:rPr>
        <w:rFonts w:ascii="Wingdings" w:hAnsi="Wingdings" w:hint="default"/>
        <w:color w:val="000080"/>
        <w:sz w:val="16"/>
      </w:rPr>
    </w:lvl>
    <w:lvl w:ilvl="1" w:tplc="2C40FBEE">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D483C7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625226"/>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2D3276"/>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30C38"/>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CF75275"/>
    <w:multiLevelType w:val="hybridMultilevel"/>
    <w:tmpl w:val="134A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E51402"/>
    <w:multiLevelType w:val="hybridMultilevel"/>
    <w:tmpl w:val="FE48D7BE"/>
    <w:lvl w:ilvl="0" w:tplc="1628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155DA"/>
    <w:multiLevelType w:val="hybridMultilevel"/>
    <w:tmpl w:val="7A28C528"/>
    <w:lvl w:ilvl="0" w:tplc="2D16295A">
      <w:start w:val="1"/>
      <w:numFmt w:val="lowerRoman"/>
      <w:lvlText w:val="%1)"/>
      <w:lvlJc w:val="left"/>
      <w:pPr>
        <w:ind w:left="360" w:hanging="360"/>
      </w:pPr>
      <w:rPr>
        <w:rFonts w:ascii="CIDFont+F2" w:eastAsiaTheme="minorHAnsi" w:hAnsi="CIDFont+F2" w:cs="CIDFont+F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78513E"/>
    <w:multiLevelType w:val="hybridMultilevel"/>
    <w:tmpl w:val="FE82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2768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B1F5E42"/>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B856947"/>
    <w:multiLevelType w:val="hybridMultilevel"/>
    <w:tmpl w:val="793C66E8"/>
    <w:lvl w:ilvl="0" w:tplc="C15A11B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7426611">
    <w:abstractNumId w:val="26"/>
  </w:num>
  <w:num w:numId="2" w16cid:durableId="382414223">
    <w:abstractNumId w:val="16"/>
  </w:num>
  <w:num w:numId="3" w16cid:durableId="173888852">
    <w:abstractNumId w:val="26"/>
  </w:num>
  <w:num w:numId="4" w16cid:durableId="1984505701">
    <w:abstractNumId w:val="16"/>
  </w:num>
  <w:num w:numId="5" w16cid:durableId="1315834605">
    <w:abstractNumId w:val="14"/>
  </w:num>
  <w:num w:numId="6" w16cid:durableId="1304122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545959">
    <w:abstractNumId w:val="14"/>
  </w:num>
  <w:num w:numId="8" w16cid:durableId="1756508066">
    <w:abstractNumId w:val="14"/>
  </w:num>
  <w:num w:numId="9" w16cid:durableId="1111390162">
    <w:abstractNumId w:val="17"/>
  </w:num>
  <w:num w:numId="10" w16cid:durableId="1151289031">
    <w:abstractNumId w:val="18"/>
  </w:num>
  <w:num w:numId="11" w16cid:durableId="1258909556">
    <w:abstractNumId w:val="27"/>
  </w:num>
  <w:num w:numId="12" w16cid:durableId="1550921455">
    <w:abstractNumId w:val="31"/>
  </w:num>
  <w:num w:numId="13" w16cid:durableId="1185753276">
    <w:abstractNumId w:val="20"/>
  </w:num>
  <w:num w:numId="14" w16cid:durableId="1176382005">
    <w:abstractNumId w:val="1"/>
  </w:num>
  <w:num w:numId="15" w16cid:durableId="1753506403">
    <w:abstractNumId w:val="7"/>
  </w:num>
  <w:num w:numId="16" w16cid:durableId="794913097">
    <w:abstractNumId w:val="3"/>
  </w:num>
  <w:num w:numId="17" w16cid:durableId="1659265353">
    <w:abstractNumId w:val="29"/>
  </w:num>
  <w:num w:numId="18" w16cid:durableId="2062514903">
    <w:abstractNumId w:val="5"/>
  </w:num>
  <w:num w:numId="19" w16cid:durableId="517546613">
    <w:abstractNumId w:val="4"/>
  </w:num>
  <w:num w:numId="20" w16cid:durableId="216168113">
    <w:abstractNumId w:val="22"/>
  </w:num>
  <w:num w:numId="21" w16cid:durableId="700011485">
    <w:abstractNumId w:val="10"/>
  </w:num>
  <w:num w:numId="22" w16cid:durableId="716778237">
    <w:abstractNumId w:val="19"/>
  </w:num>
  <w:num w:numId="23" w16cid:durableId="204491913">
    <w:abstractNumId w:val="6"/>
  </w:num>
  <w:num w:numId="24" w16cid:durableId="889925387">
    <w:abstractNumId w:val="11"/>
  </w:num>
  <w:num w:numId="25" w16cid:durableId="1123965922">
    <w:abstractNumId w:val="30"/>
  </w:num>
  <w:num w:numId="26" w16cid:durableId="1613587705">
    <w:abstractNumId w:val="23"/>
  </w:num>
  <w:num w:numId="27" w16cid:durableId="1159422074">
    <w:abstractNumId w:val="21"/>
  </w:num>
  <w:num w:numId="28" w16cid:durableId="1183668557">
    <w:abstractNumId w:val="0"/>
  </w:num>
  <w:num w:numId="29" w16cid:durableId="1785466731">
    <w:abstractNumId w:val="13"/>
  </w:num>
  <w:num w:numId="30" w16cid:durableId="1679841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9524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4780838">
    <w:abstractNumId w:val="28"/>
  </w:num>
  <w:num w:numId="33" w16cid:durableId="78647808">
    <w:abstractNumId w:val="32"/>
  </w:num>
  <w:num w:numId="34" w16cid:durableId="329064441">
    <w:abstractNumId w:val="9"/>
  </w:num>
  <w:num w:numId="35" w16cid:durableId="463162628">
    <w:abstractNumId w:val="25"/>
  </w:num>
  <w:num w:numId="36" w16cid:durableId="954553873">
    <w:abstractNumId w:val="24"/>
  </w:num>
  <w:num w:numId="37" w16cid:durableId="615599649">
    <w:abstractNumId w:val="2"/>
  </w:num>
  <w:num w:numId="38" w16cid:durableId="255483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920EB"/>
    <w:rsid w:val="000A0261"/>
    <w:rsid w:val="000D6088"/>
    <w:rsid w:val="000F02D8"/>
    <w:rsid w:val="000F0D1F"/>
    <w:rsid w:val="00112BDA"/>
    <w:rsid w:val="00122F77"/>
    <w:rsid w:val="001522A5"/>
    <w:rsid w:val="001550D4"/>
    <w:rsid w:val="00162B41"/>
    <w:rsid w:val="001839D0"/>
    <w:rsid w:val="001A0B0D"/>
    <w:rsid w:val="001B5A5E"/>
    <w:rsid w:val="001B7972"/>
    <w:rsid w:val="001C1DCF"/>
    <w:rsid w:val="00225B11"/>
    <w:rsid w:val="0027121C"/>
    <w:rsid w:val="00293D1E"/>
    <w:rsid w:val="002D5C7D"/>
    <w:rsid w:val="002F4698"/>
    <w:rsid w:val="00312B81"/>
    <w:rsid w:val="00315960"/>
    <w:rsid w:val="003227A8"/>
    <w:rsid w:val="00336ADD"/>
    <w:rsid w:val="003424DF"/>
    <w:rsid w:val="003746D1"/>
    <w:rsid w:val="003B2194"/>
    <w:rsid w:val="003B4657"/>
    <w:rsid w:val="003C1E12"/>
    <w:rsid w:val="003C428D"/>
    <w:rsid w:val="003D6957"/>
    <w:rsid w:val="003E2363"/>
    <w:rsid w:val="00410643"/>
    <w:rsid w:val="0047576F"/>
    <w:rsid w:val="004812B3"/>
    <w:rsid w:val="004839E3"/>
    <w:rsid w:val="004D1C61"/>
    <w:rsid w:val="00505CBE"/>
    <w:rsid w:val="00511501"/>
    <w:rsid w:val="005412C2"/>
    <w:rsid w:val="005468A0"/>
    <w:rsid w:val="00571728"/>
    <w:rsid w:val="00573982"/>
    <w:rsid w:val="00592750"/>
    <w:rsid w:val="005B3D68"/>
    <w:rsid w:val="005B596D"/>
    <w:rsid w:val="005C382B"/>
    <w:rsid w:val="005E6BEF"/>
    <w:rsid w:val="0062343B"/>
    <w:rsid w:val="00630E3C"/>
    <w:rsid w:val="00631FB7"/>
    <w:rsid w:val="00640582"/>
    <w:rsid w:val="00640D9E"/>
    <w:rsid w:val="00695A9D"/>
    <w:rsid w:val="006D78D3"/>
    <w:rsid w:val="006E4929"/>
    <w:rsid w:val="006E5BE4"/>
    <w:rsid w:val="006E6DD1"/>
    <w:rsid w:val="006F02A9"/>
    <w:rsid w:val="007041FE"/>
    <w:rsid w:val="00743487"/>
    <w:rsid w:val="00767155"/>
    <w:rsid w:val="007E402A"/>
    <w:rsid w:val="007E6398"/>
    <w:rsid w:val="00806B31"/>
    <w:rsid w:val="0081777C"/>
    <w:rsid w:val="00835009"/>
    <w:rsid w:val="0083709E"/>
    <w:rsid w:val="00871BA3"/>
    <w:rsid w:val="008838F6"/>
    <w:rsid w:val="008C502D"/>
    <w:rsid w:val="008F157D"/>
    <w:rsid w:val="008F283B"/>
    <w:rsid w:val="00920222"/>
    <w:rsid w:val="00923C44"/>
    <w:rsid w:val="00961255"/>
    <w:rsid w:val="00965537"/>
    <w:rsid w:val="009803F7"/>
    <w:rsid w:val="00987F51"/>
    <w:rsid w:val="009F4D8F"/>
    <w:rsid w:val="00A21C6B"/>
    <w:rsid w:val="00A22DB0"/>
    <w:rsid w:val="00A245F6"/>
    <w:rsid w:val="00A53F08"/>
    <w:rsid w:val="00A71F5B"/>
    <w:rsid w:val="00AC79EA"/>
    <w:rsid w:val="00AD7543"/>
    <w:rsid w:val="00B03267"/>
    <w:rsid w:val="00B178E0"/>
    <w:rsid w:val="00B20BEC"/>
    <w:rsid w:val="00BB6666"/>
    <w:rsid w:val="00BC2215"/>
    <w:rsid w:val="00BC441F"/>
    <w:rsid w:val="00BC67A6"/>
    <w:rsid w:val="00BD20F9"/>
    <w:rsid w:val="00BF0E62"/>
    <w:rsid w:val="00C31914"/>
    <w:rsid w:val="00C62B7A"/>
    <w:rsid w:val="00C87198"/>
    <w:rsid w:val="00CB144D"/>
    <w:rsid w:val="00CB6A27"/>
    <w:rsid w:val="00CC724E"/>
    <w:rsid w:val="00CD0857"/>
    <w:rsid w:val="00CD54F4"/>
    <w:rsid w:val="00CF653F"/>
    <w:rsid w:val="00D14E74"/>
    <w:rsid w:val="00D2622A"/>
    <w:rsid w:val="00D67EB6"/>
    <w:rsid w:val="00D7224E"/>
    <w:rsid w:val="00DA3F03"/>
    <w:rsid w:val="00DD7F4C"/>
    <w:rsid w:val="00DE2B67"/>
    <w:rsid w:val="00E20638"/>
    <w:rsid w:val="00E21CBF"/>
    <w:rsid w:val="00E30EB8"/>
    <w:rsid w:val="00E40A83"/>
    <w:rsid w:val="00E71498"/>
    <w:rsid w:val="00E77962"/>
    <w:rsid w:val="00E833D0"/>
    <w:rsid w:val="00E92C71"/>
    <w:rsid w:val="00EB6203"/>
    <w:rsid w:val="00EF17ED"/>
    <w:rsid w:val="00EF496C"/>
    <w:rsid w:val="00F2403C"/>
    <w:rsid w:val="00F53E59"/>
    <w:rsid w:val="00F64268"/>
    <w:rsid w:val="00F855CC"/>
    <w:rsid w:val="00F86140"/>
    <w:rsid w:val="00F92EC3"/>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A7C69"/>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1"/>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2"/>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paragraph" w:styleId="Heading4">
    <w:name w:val="heading 4"/>
    <w:basedOn w:val="Normal"/>
    <w:next w:val="Normal"/>
    <w:link w:val="Heading4Char"/>
    <w:uiPriority w:val="9"/>
    <w:semiHidden/>
    <w:unhideWhenUsed/>
    <w:rsid w:val="00F92EC3"/>
    <w:pPr>
      <w:keepNext/>
      <w:keepLines/>
      <w:spacing w:before="40" w:after="0"/>
      <w:outlineLvl w:val="3"/>
    </w:pPr>
    <w:rPr>
      <w:rFonts w:asciiTheme="majorHAnsi" w:eastAsiaTheme="majorEastAsia" w:hAnsiTheme="majorHAnsi" w:cstheme="majorBidi"/>
      <w:i/>
      <w:iCs/>
      <w:color w:val="003B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F0D1F"/>
    <w:rPr>
      <w:rFonts w:ascii="Arial" w:hAnsi="Arial" w:cs="Arial"/>
      <w:b/>
      <w:bCs/>
      <w:sz w:val="24"/>
      <w:szCs w:val="24"/>
    </w:rPr>
  </w:style>
  <w:style w:type="character" w:customStyle="1" w:styleId="Heading2Char">
    <w:name w:val="Heading 2 Char"/>
    <w:basedOn w:val="DefaultParagraphFont"/>
    <w:link w:val="Heading2"/>
    <w:uiPriority w:val="2"/>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39"/>
    <w:unhideWhenUsed/>
    <w:rsid w:val="00E40A83"/>
    <w:pPr>
      <w:tabs>
        <w:tab w:val="right" w:leader="dot" w:pos="6660"/>
      </w:tabs>
      <w:spacing w:after="120"/>
    </w:pPr>
    <w:rPr>
      <w:b/>
      <w:noProof/>
    </w:rPr>
  </w:style>
  <w:style w:type="paragraph" w:styleId="TOC2">
    <w:name w:val="toc 2"/>
    <w:basedOn w:val="Normal"/>
    <w:next w:val="Normal"/>
    <w:autoRedefine/>
    <w:uiPriority w:val="39"/>
    <w:unhideWhenUsed/>
    <w:rsid w:val="00E40A83"/>
    <w:pPr>
      <w:tabs>
        <w:tab w:val="right" w:leader="dot" w:pos="6660"/>
      </w:tabs>
      <w:spacing w:after="120"/>
    </w:pPr>
    <w:rPr>
      <w:noProof/>
    </w:rPr>
  </w:style>
  <w:style w:type="paragraph" w:styleId="TOC3">
    <w:name w:val="toc 3"/>
    <w:basedOn w:val="Normal"/>
    <w:next w:val="Normal"/>
    <w:autoRedefine/>
    <w:uiPriority w:val="39"/>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aliases w:val="F5 List Paragraph,Bullet Points,Dot pt,List Paragraph1,Colorful List - Accent 11,No Spacing1,List Paragraph Char Char Char,Indicator Text,Numbered Para 1,List Paragraph2,MAIN CONTENT,List Paragraph12,OBC Bullet,L,AE_Num_List,MP2"/>
    <w:basedOn w:val="Normal"/>
    <w:link w:val="ListParagraphChar"/>
    <w:uiPriority w:val="1"/>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nhideWhenUsed/>
    <w:qFormat/>
    <w:rsid w:val="00052C04"/>
    <w:pPr>
      <w:ind w:left="720"/>
    </w:pPr>
    <w:rPr>
      <w:color w:val="36424A" w:themeColor="text1"/>
    </w:rPr>
  </w:style>
  <w:style w:type="character" w:customStyle="1" w:styleId="TOCindent2Char">
    <w:name w:val="TOC indent 2 Char"/>
    <w:basedOn w:val="DefaultParagraphFont"/>
    <w:link w:val="TOCindent2"/>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link w:val="BasicParagraphChar"/>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9"/>
    <w:rsid w:val="00E40A83"/>
  </w:style>
  <w:style w:type="character" w:customStyle="1" w:styleId="FootnoteTextChar">
    <w:name w:val="Footnote Text Char"/>
    <w:basedOn w:val="DefaultParagraphFont"/>
    <w:link w:val="FootnoteText"/>
    <w:uiPriority w:val="99"/>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styleId="BodyText">
    <w:name w:val="Body Text"/>
    <w:basedOn w:val="Normal"/>
    <w:link w:val="BodyTextChar"/>
    <w:uiPriority w:val="1"/>
    <w:qFormat/>
    <w:rsid w:val="00965537"/>
    <w:pPr>
      <w:widowControl w:val="0"/>
      <w:adjustRightInd/>
      <w:spacing w:after="0" w:line="240" w:lineRule="auto"/>
      <w:textAlignment w:val="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965537"/>
    <w:rPr>
      <w:rFonts w:ascii="Palatino Linotype" w:eastAsia="Palatino Linotype" w:hAnsi="Palatino Linotype" w:cs="Palatino Linotype"/>
      <w:sz w:val="21"/>
      <w:szCs w:val="21"/>
    </w:rPr>
  </w:style>
  <w:style w:type="table" w:customStyle="1" w:styleId="Style1">
    <w:name w:val="Style1"/>
    <w:basedOn w:val="TableNormal"/>
    <w:uiPriority w:val="99"/>
    <w:rsid w:val="00C62B7A"/>
    <w:pPr>
      <w:spacing w:after="0" w:line="240" w:lineRule="auto"/>
    </w:pPr>
    <w:rPr>
      <w:lang w:val="en-CA"/>
    </w:r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customStyle="1" w:styleId="BasicParagraphChar">
    <w:name w:val="[Basic Paragraph] Char"/>
    <w:basedOn w:val="DefaultParagraphFont"/>
    <w:link w:val="BasicParagraph"/>
    <w:uiPriority w:val="99"/>
    <w:rsid w:val="00C62B7A"/>
    <w:rPr>
      <w:rFonts w:ascii="Minion Pro" w:hAnsi="Minion Pro" w:cs="Minion Pro"/>
      <w:color w:val="000000"/>
      <w:sz w:val="24"/>
      <w:szCs w:val="24"/>
    </w:rPr>
  </w:style>
  <w:style w:type="paragraph" w:customStyle="1" w:styleId="CopyrightandISBN">
    <w:name w:val="Copyright and ISBN"/>
    <w:basedOn w:val="Normal"/>
    <w:link w:val="CopyrightandISBNChar"/>
    <w:uiPriority w:val="99"/>
    <w:rsid w:val="00C62B7A"/>
    <w:pPr>
      <w:suppressAutoHyphens/>
      <w:spacing w:before="90" w:line="288" w:lineRule="auto"/>
    </w:pPr>
    <w:rPr>
      <w:rFonts w:ascii="HelveticaNeueLT Std Cn" w:hAnsi="HelveticaNeueLT Std Cn" w:cs="HelveticaNeueLT Std Cn"/>
      <w:color w:val="FFFFFF"/>
      <w:sz w:val="16"/>
      <w:szCs w:val="16"/>
    </w:rPr>
  </w:style>
  <w:style w:type="character" w:customStyle="1" w:styleId="CopyrightandISBNChar">
    <w:name w:val="Copyright and ISBN Char"/>
    <w:basedOn w:val="DefaultParagraphFont"/>
    <w:link w:val="CopyrightandISBN"/>
    <w:uiPriority w:val="99"/>
    <w:rsid w:val="00C62B7A"/>
    <w:rPr>
      <w:rFonts w:ascii="HelveticaNeueLT Std Cn" w:hAnsi="HelveticaNeueLT Std Cn" w:cs="HelveticaNeueLT Std Cn"/>
      <w:color w:val="FFFFFF"/>
      <w:sz w:val="16"/>
      <w:szCs w:val="16"/>
    </w:rPr>
  </w:style>
  <w:style w:type="character" w:customStyle="1" w:styleId="url">
    <w:name w:val="url"/>
    <w:uiPriority w:val="99"/>
    <w:rsid w:val="00C62B7A"/>
    <w:rPr>
      <w:rFonts w:cs="HelveticaNeueLT Std Cn"/>
      <w:sz w:val="20"/>
      <w:szCs w:val="20"/>
    </w:rPr>
  </w:style>
  <w:style w:type="paragraph" w:customStyle="1" w:styleId="Sub-Head2medcondensed">
    <w:name w:val="Sub-Head 2 med condensed"/>
    <w:basedOn w:val="Normal"/>
    <w:uiPriority w:val="99"/>
    <w:rsid w:val="00C62B7A"/>
    <w:pPr>
      <w:suppressAutoHyphens/>
      <w:spacing w:before="270" w:line="288" w:lineRule="auto"/>
    </w:pPr>
    <w:rPr>
      <w:rFonts w:ascii="HelveticaNeueLT Std Med Cn" w:hAnsi="HelveticaNeueLT Std Med Cn" w:cs="HelveticaNeueLT Std Med Cn"/>
      <w:color w:val="36424A" w:themeColor="text1"/>
      <w:sz w:val="26"/>
      <w:szCs w:val="26"/>
    </w:rPr>
  </w:style>
  <w:style w:type="paragraph" w:customStyle="1" w:styleId="BodyCopy">
    <w:name w:val="Body Copy"/>
    <w:basedOn w:val="Normal"/>
    <w:uiPriority w:val="99"/>
    <w:rsid w:val="00C62B7A"/>
    <w:pPr>
      <w:suppressAutoHyphens/>
      <w:spacing w:before="90" w:line="288" w:lineRule="auto"/>
    </w:pPr>
    <w:rPr>
      <w:rFonts w:ascii="HelveticaNeueLT Std Cn" w:hAnsi="HelveticaNeueLT Std Cn" w:cs="HelveticaNeueLT Std Cn"/>
      <w:color w:val="36424A" w:themeColor="text1"/>
      <w:sz w:val="20"/>
      <w:szCs w:val="20"/>
    </w:rPr>
  </w:style>
  <w:style w:type="paragraph" w:customStyle="1" w:styleId="Bullet1">
    <w:name w:val="Bullet 1"/>
    <w:aliases w:val="b1,Bullet for no #'s"/>
    <w:basedOn w:val="Normal"/>
    <w:link w:val="Bullet1Char"/>
    <w:rsid w:val="00C62B7A"/>
    <w:pPr>
      <w:numPr>
        <w:numId w:val="14"/>
      </w:numPr>
      <w:suppressAutoHyphens/>
      <w:spacing w:before="90" w:line="312" w:lineRule="auto"/>
    </w:pPr>
    <w:rPr>
      <w:rFonts w:cs="HelveticaNeueLT Std Cn"/>
      <w:color w:val="36424A" w:themeColor="text1"/>
      <w:sz w:val="20"/>
      <w:szCs w:val="20"/>
    </w:rPr>
  </w:style>
  <w:style w:type="paragraph" w:customStyle="1" w:styleId="Footer-URL">
    <w:name w:val="Footer - URL"/>
    <w:basedOn w:val="BasicParagraph"/>
    <w:link w:val="Footer-URLChar"/>
    <w:uiPriority w:val="4"/>
    <w:rsid w:val="00C62B7A"/>
    <w:pPr>
      <w:suppressAutoHyphens/>
      <w:spacing w:before="90" w:after="180"/>
    </w:pPr>
    <w:rPr>
      <w:rFonts w:ascii="Arial Narrow" w:hAnsi="Arial Narrow" w:cs="MinionPro-Regular"/>
      <w:color w:val="00AAD2" w:themeColor="accent3"/>
    </w:rPr>
  </w:style>
  <w:style w:type="character" w:customStyle="1" w:styleId="Footer-URLChar">
    <w:name w:val="Footer - URL Char"/>
    <w:basedOn w:val="BasicParagraphChar"/>
    <w:link w:val="Footer-URL"/>
    <w:uiPriority w:val="4"/>
    <w:rsid w:val="00C62B7A"/>
    <w:rPr>
      <w:rFonts w:ascii="Arial Narrow" w:hAnsi="Arial Narrow" w:cs="MinionPro-Regular"/>
      <w:color w:val="00AAD2" w:themeColor="accent3"/>
      <w:sz w:val="24"/>
      <w:szCs w:val="24"/>
    </w:rPr>
  </w:style>
  <w:style w:type="paragraph" w:customStyle="1" w:styleId="Call-BoxHeading">
    <w:name w:val="Call-Box Heading"/>
    <w:basedOn w:val="Call-BoxText"/>
    <w:link w:val="Call-BoxHeadingChar"/>
    <w:uiPriority w:val="4"/>
    <w:qFormat/>
    <w:rsid w:val="00C62B7A"/>
    <w:pPr>
      <w:spacing w:before="180"/>
    </w:pPr>
    <w:rPr>
      <w:sz w:val="36"/>
    </w:rPr>
  </w:style>
  <w:style w:type="character" w:customStyle="1" w:styleId="Call-BoxHeadingChar">
    <w:name w:val="Call-Box Heading Char"/>
    <w:basedOn w:val="DefaultParagraphFont"/>
    <w:link w:val="Call-BoxHeading"/>
    <w:uiPriority w:val="4"/>
    <w:rsid w:val="00C62B7A"/>
    <w:rPr>
      <w:rFonts w:ascii="Arial" w:hAnsi="Arial" w:cs="HelveticaNeueLT Std Cn"/>
      <w:color w:val="FFFFFF" w:themeColor="background1"/>
      <w:sz w:val="36"/>
      <w:szCs w:val="20"/>
    </w:rPr>
  </w:style>
  <w:style w:type="paragraph" w:customStyle="1" w:styleId="Call-BoxText">
    <w:name w:val="Call-Box Text"/>
    <w:basedOn w:val="Normal"/>
    <w:link w:val="Call-BoxTextChar"/>
    <w:uiPriority w:val="4"/>
    <w:qFormat/>
    <w:rsid w:val="00C62B7A"/>
    <w:pPr>
      <w:suppressAutoHyphens/>
      <w:spacing w:before="90" w:line="312" w:lineRule="auto"/>
    </w:pPr>
    <w:rPr>
      <w:rFonts w:cs="HelveticaNeueLT Std Cn"/>
      <w:color w:val="FFFFFF" w:themeColor="background1"/>
      <w:sz w:val="20"/>
      <w:szCs w:val="20"/>
    </w:rPr>
  </w:style>
  <w:style w:type="character" w:customStyle="1" w:styleId="Call-BoxTextChar">
    <w:name w:val="Call-Box Text Char"/>
    <w:basedOn w:val="DefaultParagraphFont"/>
    <w:link w:val="Call-BoxText"/>
    <w:uiPriority w:val="4"/>
    <w:rsid w:val="00C62B7A"/>
    <w:rPr>
      <w:rFonts w:ascii="Arial" w:hAnsi="Arial" w:cs="HelveticaNeueLT Std Cn"/>
      <w:color w:val="FFFFFF" w:themeColor="background1"/>
      <w:sz w:val="20"/>
      <w:szCs w:val="20"/>
    </w:rPr>
  </w:style>
  <w:style w:type="paragraph" w:customStyle="1" w:styleId="Sub-heading">
    <w:name w:val="Sub-heading"/>
    <w:basedOn w:val="Heading2"/>
    <w:link w:val="Sub-headingChar"/>
    <w:uiPriority w:val="99"/>
    <w:rsid w:val="00C62B7A"/>
    <w:pPr>
      <w:suppressAutoHyphens/>
      <w:spacing w:before="240" w:after="180" w:line="240" w:lineRule="auto"/>
      <w:contextualSpacing w:val="0"/>
    </w:pPr>
    <w:rPr>
      <w:rFonts w:cs="HelveticaNeueLT Std Cn"/>
      <w:b w:val="0"/>
      <w:bCs w:val="0"/>
      <w:color w:val="00AAD2" w:themeColor="accent3"/>
      <w:sz w:val="36"/>
      <w:szCs w:val="36"/>
    </w:rPr>
  </w:style>
  <w:style w:type="paragraph" w:customStyle="1" w:styleId="Sub-headingstyle">
    <w:name w:val="Sub-heading style"/>
    <w:basedOn w:val="Normal"/>
    <w:link w:val="Sub-headingstyleChar"/>
    <w:uiPriority w:val="9"/>
    <w:rsid w:val="00C62B7A"/>
    <w:pPr>
      <w:suppressAutoHyphens/>
      <w:spacing w:before="90" w:line="440" w:lineRule="exact"/>
    </w:pPr>
    <w:rPr>
      <w:rFonts w:cs="HelveticaNeueLT Std Cn"/>
      <w:color w:val="00AAD2" w:themeColor="accent3"/>
      <w:sz w:val="36"/>
      <w:szCs w:val="36"/>
    </w:rPr>
  </w:style>
  <w:style w:type="character" w:customStyle="1" w:styleId="Sub-headingstyleChar">
    <w:name w:val="Sub-heading style Char"/>
    <w:basedOn w:val="Sub-headingChar"/>
    <w:link w:val="Sub-headingstyle"/>
    <w:uiPriority w:val="9"/>
    <w:rsid w:val="00C62B7A"/>
    <w:rPr>
      <w:rFonts w:ascii="Arial" w:hAnsi="Arial" w:cs="HelveticaNeueLT Std Cn"/>
      <w:b w:val="0"/>
      <w:bCs w:val="0"/>
      <w:color w:val="00AAD2" w:themeColor="accent3"/>
      <w:sz w:val="36"/>
      <w:szCs w:val="36"/>
    </w:rPr>
  </w:style>
  <w:style w:type="character" w:customStyle="1" w:styleId="Bullet1Char">
    <w:name w:val="Bullet 1 Char"/>
    <w:basedOn w:val="DefaultParagraphFont"/>
    <w:link w:val="Bullet1"/>
    <w:uiPriority w:val="1"/>
    <w:rsid w:val="00C62B7A"/>
    <w:rPr>
      <w:rFonts w:ascii="Arial" w:hAnsi="Arial" w:cs="HelveticaNeueLT Std Cn"/>
      <w:color w:val="36424A" w:themeColor="text1"/>
      <w:sz w:val="20"/>
      <w:szCs w:val="20"/>
    </w:rPr>
  </w:style>
  <w:style w:type="character" w:customStyle="1" w:styleId="Sub-headingChar">
    <w:name w:val="Sub-heading Char"/>
    <w:basedOn w:val="Heading2Char"/>
    <w:link w:val="Sub-heading"/>
    <w:uiPriority w:val="99"/>
    <w:rsid w:val="00C62B7A"/>
    <w:rPr>
      <w:rFonts w:ascii="Arial" w:hAnsi="Arial" w:cs="HelveticaNeueLT Std Cn"/>
      <w:b w:val="0"/>
      <w:bCs w:val="0"/>
      <w:color w:val="00AAD2" w:themeColor="accent3"/>
      <w:sz w:val="36"/>
      <w:szCs w:val="3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List Paragraph2 Char,L Char"/>
    <w:basedOn w:val="DefaultParagraphFont"/>
    <w:link w:val="ListParagraph"/>
    <w:uiPriority w:val="34"/>
    <w:rsid w:val="00C62B7A"/>
    <w:rPr>
      <w:rFonts w:ascii="Arial" w:hAnsi="Arial" w:cs="Arial"/>
      <w:sz w:val="18"/>
      <w:szCs w:val="18"/>
    </w:rPr>
  </w:style>
  <w:style w:type="paragraph" w:customStyle="1" w:styleId="TOCtext">
    <w:name w:val="TOC text"/>
    <w:basedOn w:val="Normal"/>
    <w:link w:val="TOCtextChar"/>
    <w:uiPriority w:val="5"/>
    <w:qFormat/>
    <w:rsid w:val="00C62B7A"/>
    <w:pPr>
      <w:tabs>
        <w:tab w:val="right" w:leader="dot" w:pos="8640"/>
      </w:tabs>
      <w:suppressAutoHyphens/>
      <w:spacing w:before="90" w:line="312" w:lineRule="auto"/>
    </w:pPr>
    <w:rPr>
      <w:rFonts w:cs="HelveticaNeueLT Std Cn"/>
      <w:b/>
      <w:color w:val="36424A" w:themeColor="text1"/>
      <w:sz w:val="20"/>
      <w:szCs w:val="20"/>
    </w:rPr>
  </w:style>
  <w:style w:type="paragraph" w:customStyle="1" w:styleId="TOCindent">
    <w:name w:val="TOC indent"/>
    <w:basedOn w:val="Normal"/>
    <w:link w:val="TOCindentChar"/>
    <w:uiPriority w:val="6"/>
    <w:qFormat/>
    <w:rsid w:val="00C62B7A"/>
    <w:pPr>
      <w:suppressAutoHyphens/>
      <w:spacing w:before="90" w:line="312" w:lineRule="auto"/>
      <w:ind w:left="360"/>
    </w:pPr>
    <w:rPr>
      <w:rFonts w:cs="HelveticaNeueLT Std Cn"/>
      <w:color w:val="36424A" w:themeColor="text1"/>
      <w:sz w:val="20"/>
      <w:szCs w:val="20"/>
    </w:rPr>
  </w:style>
  <w:style w:type="character" w:customStyle="1" w:styleId="TOCtextChar">
    <w:name w:val="TOC text Char"/>
    <w:basedOn w:val="DefaultParagraphFont"/>
    <w:link w:val="TOCtext"/>
    <w:uiPriority w:val="5"/>
    <w:rsid w:val="00C62B7A"/>
    <w:rPr>
      <w:rFonts w:ascii="Arial" w:hAnsi="Arial" w:cs="HelveticaNeueLT Std Cn"/>
      <w:b/>
      <w:color w:val="36424A" w:themeColor="text1"/>
      <w:sz w:val="20"/>
      <w:szCs w:val="20"/>
    </w:rPr>
  </w:style>
  <w:style w:type="paragraph" w:customStyle="1" w:styleId="TOCHeading1">
    <w:name w:val="TOC Heading1"/>
    <w:basedOn w:val="Normal"/>
    <w:link w:val="TOCheadingChar"/>
    <w:uiPriority w:val="5"/>
    <w:qFormat/>
    <w:rsid w:val="00C62B7A"/>
    <w:pPr>
      <w:suppressAutoHyphens/>
      <w:spacing w:before="90" w:after="720" w:line="312" w:lineRule="auto"/>
    </w:pPr>
    <w:rPr>
      <w:rFonts w:cs="HelveticaNeueLT Std Cn"/>
      <w:color w:val="00AAD2" w:themeColor="accent3"/>
      <w:sz w:val="50"/>
      <w:szCs w:val="50"/>
    </w:rPr>
  </w:style>
  <w:style w:type="character" w:customStyle="1" w:styleId="TOCindentChar">
    <w:name w:val="TOC indent Char"/>
    <w:basedOn w:val="DefaultParagraphFont"/>
    <w:link w:val="TOCindent"/>
    <w:uiPriority w:val="6"/>
    <w:rsid w:val="00C62B7A"/>
    <w:rPr>
      <w:rFonts w:ascii="Arial" w:hAnsi="Arial" w:cs="HelveticaNeueLT Std Cn"/>
      <w:color w:val="36424A" w:themeColor="text1"/>
      <w:sz w:val="20"/>
      <w:szCs w:val="20"/>
    </w:rPr>
  </w:style>
  <w:style w:type="character" w:customStyle="1" w:styleId="TOCheadingChar">
    <w:name w:val="TOC heading Char"/>
    <w:basedOn w:val="DefaultParagraphFont"/>
    <w:link w:val="TOCHeading1"/>
    <w:uiPriority w:val="5"/>
    <w:rsid w:val="00C62B7A"/>
    <w:rPr>
      <w:rFonts w:ascii="Arial" w:hAnsi="Arial" w:cs="HelveticaNeueLT Std Cn"/>
      <w:color w:val="00AAD2" w:themeColor="accent3"/>
      <w:sz w:val="50"/>
      <w:szCs w:val="50"/>
    </w:rPr>
  </w:style>
  <w:style w:type="paragraph" w:customStyle="1" w:styleId="Insidefrontcoverinfo">
    <w:name w:val="Inside front cover info"/>
    <w:basedOn w:val="BodyCopy"/>
    <w:uiPriority w:val="99"/>
    <w:rsid w:val="00C62B7A"/>
    <w:pPr>
      <w:keepNext/>
      <w:spacing w:before="0" w:after="0" w:line="240" w:lineRule="atLeast"/>
    </w:pPr>
    <w:rPr>
      <w:color w:val="45545F"/>
      <w:sz w:val="18"/>
      <w:szCs w:val="18"/>
    </w:rPr>
  </w:style>
  <w:style w:type="paragraph" w:styleId="NormalWeb">
    <w:name w:val="Normal (Web)"/>
    <w:basedOn w:val="Normal"/>
    <w:uiPriority w:val="99"/>
    <w:semiHidden/>
    <w:unhideWhenUsed/>
    <w:rsid w:val="00C62B7A"/>
    <w:pPr>
      <w:autoSpaceDE/>
      <w:autoSpaceDN/>
      <w:adjustRightInd/>
      <w:spacing w:before="100" w:beforeAutospacing="1" w:after="100" w:afterAutospacing="1" w:line="312"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62B7A"/>
    <w:rPr>
      <w:b/>
      <w:bCs/>
    </w:rPr>
  </w:style>
  <w:style w:type="paragraph" w:customStyle="1" w:styleId="Call-Outtitle">
    <w:name w:val="Call-Out title"/>
    <w:basedOn w:val="Normal"/>
    <w:link w:val="Call-OuttitleChar"/>
    <w:qFormat/>
    <w:rsid w:val="00C62B7A"/>
    <w:pPr>
      <w:suppressAutoHyphens/>
      <w:spacing w:after="0" w:line="312" w:lineRule="auto"/>
      <w:ind w:right="-30"/>
    </w:pPr>
    <w:rPr>
      <w:rFonts w:cs="HelveticaNeueLT Std Cn"/>
      <w:b/>
      <w:color w:val="FFFFFF" w:themeColor="background1"/>
      <w:sz w:val="28"/>
      <w:szCs w:val="28"/>
    </w:rPr>
  </w:style>
  <w:style w:type="paragraph" w:customStyle="1" w:styleId="Call-Outtext">
    <w:name w:val="Call-Out text"/>
    <w:basedOn w:val="Normal"/>
    <w:link w:val="Call-OuttextChar"/>
    <w:qFormat/>
    <w:rsid w:val="00C62B7A"/>
    <w:pPr>
      <w:suppressAutoHyphens/>
      <w:spacing w:before="90" w:after="0" w:line="312" w:lineRule="auto"/>
      <w:ind w:right="-30"/>
    </w:pPr>
    <w:rPr>
      <w:rFonts w:cs="HelveticaNeueLT Std Cn"/>
      <w:color w:val="FFFFFF" w:themeColor="background1"/>
      <w:sz w:val="20"/>
      <w:szCs w:val="20"/>
    </w:rPr>
  </w:style>
  <w:style w:type="character" w:customStyle="1" w:styleId="Call-OuttitleChar">
    <w:name w:val="Call-Out title Char"/>
    <w:basedOn w:val="DefaultParagraphFont"/>
    <w:link w:val="Call-Outtitle"/>
    <w:rsid w:val="00C62B7A"/>
    <w:rPr>
      <w:rFonts w:ascii="Arial" w:hAnsi="Arial" w:cs="HelveticaNeueLT Std Cn"/>
      <w:b/>
      <w:color w:val="FFFFFF" w:themeColor="background1"/>
      <w:sz w:val="28"/>
      <w:szCs w:val="28"/>
    </w:rPr>
  </w:style>
  <w:style w:type="character" w:customStyle="1" w:styleId="Call-OuttextChar">
    <w:name w:val="Call-Out text Char"/>
    <w:basedOn w:val="DefaultParagraphFont"/>
    <w:link w:val="Call-Outtext"/>
    <w:rsid w:val="00C62B7A"/>
    <w:rPr>
      <w:rFonts w:ascii="Arial" w:hAnsi="Arial" w:cs="HelveticaNeueLT Std Cn"/>
      <w:color w:val="FFFFFF" w:themeColor="background1"/>
      <w:sz w:val="20"/>
      <w:szCs w:val="20"/>
    </w:rPr>
  </w:style>
  <w:style w:type="paragraph" w:customStyle="1" w:styleId="Tablecopy">
    <w:name w:val="Table copy"/>
    <w:basedOn w:val="BodyCopy"/>
    <w:uiPriority w:val="99"/>
    <w:rsid w:val="00C62B7A"/>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C62B7A"/>
    <w:pPr>
      <w:spacing w:after="0" w:line="240" w:lineRule="auto"/>
    </w:pPr>
    <w:rPr>
      <w:rFonts w:ascii="Arial" w:hAnsi="Arial"/>
      <w:sz w:val="20"/>
      <w:lang w:val="en-CA"/>
    </w:rPr>
    <w:tblPr>
      <w:tblStyleRowBandSize w:val="1"/>
    </w:tblPr>
  </w:style>
  <w:style w:type="table" w:styleId="MediumShading2-Accent4">
    <w:name w:val="Medium Shading 2 Accent 4"/>
    <w:basedOn w:val="TableNormal"/>
    <w:uiPriority w:val="64"/>
    <w:rsid w:val="00C62B7A"/>
    <w:pPr>
      <w:spacing w:after="0" w:line="240" w:lineRule="auto"/>
    </w:pPr>
    <w:rPr>
      <w:lang w:val="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ubheading">
    <w:name w:val="Subheading"/>
    <w:basedOn w:val="Normal"/>
    <w:uiPriority w:val="99"/>
    <w:rsid w:val="00C62B7A"/>
    <w:pPr>
      <w:suppressAutoHyphens/>
      <w:spacing w:before="90" w:after="90" w:line="288" w:lineRule="auto"/>
    </w:pPr>
    <w:rPr>
      <w:rFonts w:ascii="HelveticaNeueLT Std" w:hAnsi="HelveticaNeueLT Std" w:cs="HelveticaNeueLT Std"/>
      <w:color w:val="8CC63E"/>
      <w:sz w:val="36"/>
      <w:szCs w:val="36"/>
    </w:rPr>
  </w:style>
  <w:style w:type="paragraph" w:customStyle="1" w:styleId="Style01">
    <w:name w:val="Style01"/>
    <w:basedOn w:val="ListParagraph"/>
    <w:link w:val="Style01Char"/>
    <w:qFormat/>
    <w:rsid w:val="00C62B7A"/>
    <w:pPr>
      <w:numPr>
        <w:numId w:val="15"/>
      </w:numPr>
      <w:suppressAutoHyphens/>
      <w:spacing w:before="90" w:line="312" w:lineRule="auto"/>
    </w:pPr>
    <w:rPr>
      <w:rFonts w:cs="HelveticaNeueLT Std Cn"/>
      <w:color w:val="00AAD2" w:themeColor="accent3"/>
      <w:sz w:val="36"/>
      <w:szCs w:val="20"/>
    </w:rPr>
  </w:style>
  <w:style w:type="paragraph" w:customStyle="1" w:styleId="Style02">
    <w:name w:val="Style02"/>
    <w:basedOn w:val="ListParagraph"/>
    <w:qFormat/>
    <w:rsid w:val="00C62B7A"/>
    <w:pPr>
      <w:numPr>
        <w:ilvl w:val="1"/>
        <w:numId w:val="15"/>
      </w:numPr>
      <w:suppressAutoHyphens/>
      <w:spacing w:after="0" w:line="312" w:lineRule="auto"/>
    </w:pPr>
    <w:rPr>
      <w:rFonts w:cs="HelveticaNeueLT Std Cn"/>
      <w:color w:val="36424A" w:themeColor="text1"/>
      <w:sz w:val="20"/>
      <w:szCs w:val="20"/>
    </w:rPr>
  </w:style>
  <w:style w:type="character" w:customStyle="1" w:styleId="Style01Char">
    <w:name w:val="Style01 Char"/>
    <w:basedOn w:val="DefaultParagraphFont"/>
    <w:link w:val="Style01"/>
    <w:rsid w:val="00C62B7A"/>
    <w:rPr>
      <w:rFonts w:ascii="Arial" w:hAnsi="Arial" w:cs="HelveticaNeueLT Std Cn"/>
      <w:color w:val="00AAD2" w:themeColor="accent3"/>
      <w:sz w:val="36"/>
      <w:szCs w:val="20"/>
    </w:rPr>
  </w:style>
  <w:style w:type="paragraph" w:customStyle="1" w:styleId="Style03">
    <w:name w:val="Style03"/>
    <w:basedOn w:val="ListParagraph"/>
    <w:qFormat/>
    <w:rsid w:val="00C62B7A"/>
    <w:pPr>
      <w:numPr>
        <w:ilvl w:val="2"/>
        <w:numId w:val="15"/>
      </w:numPr>
      <w:suppressAutoHyphens/>
      <w:spacing w:after="0" w:line="312" w:lineRule="auto"/>
    </w:pPr>
    <w:rPr>
      <w:rFonts w:cs="HelveticaNeueLT Std Cn"/>
      <w:color w:val="36424A" w:themeColor="text1"/>
      <w:sz w:val="20"/>
      <w:szCs w:val="20"/>
    </w:rPr>
  </w:style>
  <w:style w:type="paragraph" w:customStyle="1" w:styleId="Style04">
    <w:name w:val="Style04"/>
    <w:basedOn w:val="ListParagraph"/>
    <w:qFormat/>
    <w:rsid w:val="00C62B7A"/>
    <w:pPr>
      <w:numPr>
        <w:ilvl w:val="3"/>
        <w:numId w:val="15"/>
      </w:numPr>
      <w:suppressAutoHyphens/>
      <w:spacing w:before="90" w:line="312" w:lineRule="auto"/>
    </w:pPr>
    <w:rPr>
      <w:rFonts w:cs="HelveticaNeueLT Std Cn"/>
      <w:color w:val="36424A" w:themeColor="text1"/>
      <w:sz w:val="20"/>
      <w:szCs w:val="20"/>
    </w:rPr>
  </w:style>
  <w:style w:type="paragraph" w:customStyle="1" w:styleId="DecimalAligned">
    <w:name w:val="Decimal Aligned"/>
    <w:basedOn w:val="Normal"/>
    <w:uiPriority w:val="40"/>
    <w:qFormat/>
    <w:rsid w:val="00C62B7A"/>
    <w:pPr>
      <w:tabs>
        <w:tab w:val="decimal" w:pos="360"/>
      </w:tabs>
      <w:autoSpaceDE/>
      <w:autoSpaceDN/>
      <w:adjustRightInd/>
      <w:spacing w:after="200" w:line="276" w:lineRule="auto"/>
      <w:textAlignment w:val="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C62B7A"/>
    <w:rPr>
      <w:i/>
      <w:iCs/>
    </w:rPr>
  </w:style>
  <w:style w:type="table" w:styleId="MediumShading2-Accent5">
    <w:name w:val="Medium Shading 2 Accent 5"/>
    <w:basedOn w:val="TableNormal"/>
    <w:uiPriority w:val="64"/>
    <w:rsid w:val="00C62B7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E1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E1EF" w:themeFill="accent5"/>
      </w:tcPr>
    </w:tblStylePr>
    <w:tblStylePr w:type="lastCol">
      <w:rPr>
        <w:b/>
        <w:bCs/>
        <w:color w:val="FFFFFF" w:themeColor="background1"/>
      </w:rPr>
      <w:tblPr/>
      <w:tcPr>
        <w:tcBorders>
          <w:left w:val="nil"/>
          <w:right w:val="nil"/>
          <w:insideH w:val="nil"/>
          <w:insideV w:val="nil"/>
        </w:tcBorders>
        <w:shd w:val="clear" w:color="auto" w:fill="A6E1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basedOn w:val="DefaultParagraphFont"/>
    <w:link w:val="NoSpacing"/>
    <w:uiPriority w:val="1"/>
    <w:rsid w:val="00C62B7A"/>
    <w:rPr>
      <w:rFonts w:ascii="Arial" w:hAnsi="Arial" w:cs="HelveticaNeueLT Std Cn"/>
      <w:color w:val="36424A"/>
      <w:sz w:val="14"/>
      <w:szCs w:val="16"/>
    </w:rPr>
  </w:style>
  <w:style w:type="table" w:customStyle="1" w:styleId="LightList-Accent31">
    <w:name w:val="Light List - Accent 31"/>
    <w:basedOn w:val="TableNormal"/>
    <w:next w:val="LightList-Accent3"/>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62B7A"/>
    <w:rPr>
      <w:sz w:val="16"/>
      <w:szCs w:val="16"/>
    </w:rPr>
  </w:style>
  <w:style w:type="paragraph" w:styleId="CommentText">
    <w:name w:val="annotation text"/>
    <w:basedOn w:val="Normal"/>
    <w:link w:val="CommentTextChar"/>
    <w:uiPriority w:val="99"/>
    <w:semiHidden/>
    <w:unhideWhenUsed/>
    <w:rsid w:val="00C62B7A"/>
    <w:pPr>
      <w:suppressAutoHyphens/>
      <w:spacing w:before="90" w:line="240" w:lineRule="auto"/>
    </w:pPr>
    <w:rPr>
      <w:rFonts w:cs="HelveticaNeueLT Std Cn"/>
      <w:color w:val="36424A" w:themeColor="text1"/>
      <w:sz w:val="20"/>
      <w:szCs w:val="20"/>
    </w:rPr>
  </w:style>
  <w:style w:type="character" w:customStyle="1" w:styleId="CommentTextChar">
    <w:name w:val="Comment Text Char"/>
    <w:basedOn w:val="DefaultParagraphFont"/>
    <w:link w:val="CommentText"/>
    <w:uiPriority w:val="99"/>
    <w:semiHidden/>
    <w:rsid w:val="00C62B7A"/>
    <w:rPr>
      <w:rFonts w:ascii="Arial" w:hAnsi="Arial" w:cs="HelveticaNeueLT Std Cn"/>
      <w:color w:val="36424A" w:themeColor="text1"/>
      <w:sz w:val="20"/>
      <w:szCs w:val="20"/>
    </w:rPr>
  </w:style>
  <w:style w:type="paragraph" w:styleId="CommentSubject">
    <w:name w:val="annotation subject"/>
    <w:basedOn w:val="CommentText"/>
    <w:next w:val="CommentText"/>
    <w:link w:val="CommentSubjectChar"/>
    <w:uiPriority w:val="99"/>
    <w:semiHidden/>
    <w:unhideWhenUsed/>
    <w:rsid w:val="00C62B7A"/>
    <w:rPr>
      <w:b/>
      <w:bCs/>
    </w:rPr>
  </w:style>
  <w:style w:type="character" w:customStyle="1" w:styleId="CommentSubjectChar">
    <w:name w:val="Comment Subject Char"/>
    <w:basedOn w:val="CommentTextChar"/>
    <w:link w:val="CommentSubject"/>
    <w:uiPriority w:val="99"/>
    <w:semiHidden/>
    <w:rsid w:val="00C62B7A"/>
    <w:rPr>
      <w:rFonts w:ascii="Arial" w:hAnsi="Arial" w:cs="HelveticaNeueLT Std Cn"/>
      <w:b/>
      <w:bCs/>
      <w:color w:val="36424A" w:themeColor="text1"/>
      <w:sz w:val="20"/>
      <w:szCs w:val="20"/>
    </w:rPr>
  </w:style>
  <w:style w:type="table" w:styleId="GridTable5Dark-Accent6">
    <w:name w:val="Grid Table 5 Dark Accent 6"/>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E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E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E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EF6" w:themeFill="accent6"/>
      </w:tcPr>
    </w:tblStylePr>
    <w:tblStylePr w:type="band1Vert">
      <w:tblPr/>
      <w:tcPr>
        <w:shd w:val="clear" w:color="auto" w:fill="EAF8FB" w:themeFill="accent6" w:themeFillTint="66"/>
      </w:tcPr>
    </w:tblStylePr>
    <w:tblStylePr w:type="band1Horz">
      <w:tblPr/>
      <w:tcPr>
        <w:shd w:val="clear" w:color="auto" w:fill="EAF8FB" w:themeFill="accent6" w:themeFillTint="66"/>
      </w:tcPr>
    </w:tblStylePr>
  </w:style>
  <w:style w:type="table" w:styleId="GridTable5Dark-Accent2">
    <w:name w:val="Grid Table 5 Dark Accent 2"/>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1AB" w:themeFill="accent2"/>
      </w:tcPr>
    </w:tblStylePr>
    <w:tblStylePr w:type="band1Vert">
      <w:tblPr/>
      <w:tcPr>
        <w:shd w:val="clear" w:color="auto" w:fill="77DDFF" w:themeFill="accent2" w:themeFillTint="66"/>
      </w:tcPr>
    </w:tblStylePr>
    <w:tblStylePr w:type="band1Horz">
      <w:tblPr/>
      <w:tcPr>
        <w:shd w:val="clear" w:color="auto" w:fill="77DDFF" w:themeFill="accent2" w:themeFillTint="66"/>
      </w:tcPr>
    </w:tblStylePr>
  </w:style>
  <w:style w:type="table" w:styleId="GridTable5Dark-Accent5">
    <w:name w:val="Grid Table 5 Dark Accent 5"/>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E1E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E1E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E1E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E1EF" w:themeFill="accent5"/>
      </w:tcPr>
    </w:tblStylePr>
    <w:tblStylePr w:type="band1Vert">
      <w:tblPr/>
      <w:tcPr>
        <w:shd w:val="clear" w:color="auto" w:fill="DBF3F8" w:themeFill="accent5" w:themeFillTint="66"/>
      </w:tcPr>
    </w:tblStylePr>
    <w:tblStylePr w:type="band1Horz">
      <w:tblPr/>
      <w:tcPr>
        <w:shd w:val="clear" w:color="auto" w:fill="DBF3F8" w:themeFill="accent5" w:themeFillTint="66"/>
      </w:tcPr>
    </w:tblStylePr>
  </w:style>
  <w:style w:type="table" w:styleId="GridTable6Colorful-Accent3">
    <w:name w:val="Grid Table 6 Colorful Accent 3"/>
    <w:basedOn w:val="TableNormal"/>
    <w:uiPriority w:val="51"/>
    <w:rsid w:val="00C62B7A"/>
    <w:pPr>
      <w:spacing w:after="0" w:line="240" w:lineRule="auto"/>
    </w:pPr>
    <w:rPr>
      <w:color w:val="007E9D" w:themeColor="accent3" w:themeShade="BF"/>
      <w:lang w:val="en-CA"/>
    </w:rPr>
    <w:tblPr>
      <w:tblStyleRowBandSize w:val="1"/>
      <w:tblStyleColBandSize w:val="1"/>
      <w:tblBorders>
        <w:top w:val="single" w:sz="4" w:space="0" w:color="4BDCFF" w:themeColor="accent3" w:themeTint="99"/>
        <w:left w:val="single" w:sz="4" w:space="0" w:color="4BDCFF" w:themeColor="accent3" w:themeTint="99"/>
        <w:bottom w:val="single" w:sz="4" w:space="0" w:color="4BDCFF" w:themeColor="accent3" w:themeTint="99"/>
        <w:right w:val="single" w:sz="4" w:space="0" w:color="4BDCFF" w:themeColor="accent3" w:themeTint="99"/>
        <w:insideH w:val="single" w:sz="4" w:space="0" w:color="4BDCFF" w:themeColor="accent3" w:themeTint="99"/>
        <w:insideV w:val="single" w:sz="4" w:space="0" w:color="4BDCFF" w:themeColor="accent3" w:themeTint="99"/>
      </w:tblBorders>
    </w:tblPr>
    <w:tblStylePr w:type="firstRow">
      <w:rPr>
        <w:b/>
        <w:bCs/>
      </w:rPr>
      <w:tblPr/>
      <w:tcPr>
        <w:tcBorders>
          <w:bottom w:val="single" w:sz="12" w:space="0" w:color="4BDCFF" w:themeColor="accent3" w:themeTint="99"/>
        </w:tcBorders>
      </w:tcPr>
    </w:tblStylePr>
    <w:tblStylePr w:type="lastRow">
      <w:rPr>
        <w:b/>
        <w:bCs/>
      </w:rPr>
      <w:tblPr/>
      <w:tcPr>
        <w:tcBorders>
          <w:top w:val="double" w:sz="4" w:space="0" w:color="4BDCFF" w:themeColor="accent3" w:themeTint="99"/>
        </w:tcBorders>
      </w:tcPr>
    </w:tblStylePr>
    <w:tblStylePr w:type="firstCol">
      <w:rPr>
        <w:b/>
        <w:bCs/>
      </w:rPr>
    </w:tblStylePr>
    <w:tblStylePr w:type="lastCol">
      <w:rPr>
        <w:b/>
        <w:bCs/>
      </w:rPr>
    </w:tblStylePr>
    <w:tblStylePr w:type="band1Vert">
      <w:tblPr/>
      <w:tcPr>
        <w:shd w:val="clear" w:color="auto" w:fill="C3F3FF" w:themeFill="accent3" w:themeFillTint="33"/>
      </w:tcPr>
    </w:tblStylePr>
    <w:tblStylePr w:type="band1Horz">
      <w:tblPr/>
      <w:tcPr>
        <w:shd w:val="clear" w:color="auto" w:fill="C3F3FF" w:themeFill="accent3" w:themeFillTint="33"/>
      </w:tcPr>
    </w:tblStylePr>
  </w:style>
  <w:style w:type="paragraph" w:styleId="Caption">
    <w:name w:val="caption"/>
    <w:basedOn w:val="Normal"/>
    <w:next w:val="Normal"/>
    <w:uiPriority w:val="35"/>
    <w:unhideWhenUsed/>
    <w:qFormat/>
    <w:rsid w:val="00C62B7A"/>
    <w:pPr>
      <w:suppressAutoHyphens/>
      <w:spacing w:after="200" w:line="240" w:lineRule="auto"/>
    </w:pPr>
    <w:rPr>
      <w:rFonts w:cs="HelveticaNeueLT Std Cn"/>
      <w:i/>
      <w:iCs/>
      <w:color w:val="6A737B" w:themeColor="text2"/>
    </w:rPr>
  </w:style>
  <w:style w:type="character" w:styleId="FollowedHyperlink">
    <w:name w:val="FollowedHyperlink"/>
    <w:basedOn w:val="DefaultParagraphFont"/>
    <w:uiPriority w:val="99"/>
    <w:semiHidden/>
    <w:unhideWhenUsed/>
    <w:rsid w:val="00C62B7A"/>
    <w:rPr>
      <w:color w:val="800080" w:themeColor="followedHyperlink"/>
      <w:u w:val="single"/>
    </w:rPr>
  </w:style>
  <w:style w:type="character" w:customStyle="1" w:styleId="Heading4Char">
    <w:name w:val="Heading 4 Char"/>
    <w:basedOn w:val="DefaultParagraphFont"/>
    <w:link w:val="Heading4"/>
    <w:uiPriority w:val="9"/>
    <w:semiHidden/>
    <w:rsid w:val="00F92EC3"/>
    <w:rPr>
      <w:rFonts w:asciiTheme="majorHAnsi" w:eastAsiaTheme="majorEastAsia" w:hAnsiTheme="majorHAnsi" w:cstheme="majorBidi"/>
      <w:i/>
      <w:iCs/>
      <w:color w:val="003B55" w:themeColor="accent1" w:themeShade="BF"/>
      <w:sz w:val="18"/>
      <w:szCs w:val="18"/>
    </w:rPr>
  </w:style>
  <w:style w:type="paragraph" w:customStyle="1" w:styleId="BodyText1">
    <w:name w:val="Body Text1"/>
    <w:aliases w:val="b"/>
    <w:basedOn w:val="Normal"/>
    <w:rsid w:val="00F92EC3"/>
    <w:pPr>
      <w:suppressAutoHyphens/>
      <w:autoSpaceDE/>
      <w:autoSpaceDN/>
      <w:adjustRightInd/>
      <w:spacing w:after="160" w:line="280" w:lineRule="exact"/>
      <w:jc w:val="both"/>
      <w:textAlignment w:val="auto"/>
    </w:pPr>
    <w:rPr>
      <w:rFonts w:ascii="Times New Roman" w:eastAsia="Times New Roman" w:hAnsi="Times New Roman" w:cs="Times New Roman"/>
      <w:sz w:val="22"/>
      <w:szCs w:val="20"/>
      <w:lang w:val="en-CA"/>
    </w:rPr>
  </w:style>
  <w:style w:type="paragraph" w:customStyle="1" w:styleId="Default">
    <w:name w:val="Default"/>
    <w:rsid w:val="00F92EC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4977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6" ma:contentTypeDescription="Create a new document." ma:contentTypeScope="" ma:versionID="9e50ed87ff3a32a9f55f410b09aa4b69">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99831765a7763edcdc2301497797e320"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Props1.xml><?xml version="1.0" encoding="utf-8"?>
<ds:datastoreItem xmlns:ds="http://schemas.openxmlformats.org/officeDocument/2006/customXml" ds:itemID="{083B6E67-AE48-4280-BF00-F745C1F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A937D-E36D-4AF6-BAB8-6D79E3652574}">
  <ds:schemaRefs>
    <ds:schemaRef ds:uri="http://schemas.microsoft.com/sharepoint/v3/contenttype/forms"/>
  </ds:schemaRefs>
</ds:datastoreItem>
</file>

<file path=customXml/itemProps3.xml><?xml version="1.0" encoding="utf-8"?>
<ds:datastoreItem xmlns:ds="http://schemas.openxmlformats.org/officeDocument/2006/customXml" ds:itemID="{C0EC783F-1409-421B-A499-30B69B213ECA}">
  <ds:schemaRefs>
    <ds:schemaRef ds:uri="http://schemas.openxmlformats.org/officeDocument/2006/bibliography"/>
  </ds:schemaRefs>
</ds:datastoreItem>
</file>

<file path=customXml/itemProps4.xml><?xml version="1.0" encoding="utf-8"?>
<ds:datastoreItem xmlns:ds="http://schemas.openxmlformats.org/officeDocument/2006/customXml" ds:itemID="{F12FF6CA-49A1-4320-BBF6-62FB1313C5B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8d50481-6e6b-4720-a87e-ab5593f2ea22"/>
    <ds:schemaRef ds:uri="a28024ff-2a40-414f-ae37-d51248c5ba5f"/>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tec-AMC_297amendments-to-Specification-#1.2-General-Re:-Payment-and-Holdback</vt:lpstr>
    </vt:vector>
  </TitlesOfParts>
  <Company>GoA</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Specification 1.2, General, Re: Payment and Holdback</dc:title>
  <dc:subject>Payment and Holdback</dc:subject>
  <dc:creator>Transportation and Economic Corridors</dc:creator>
  <cp:keywords/>
  <dc:description/>
  <cp:revision>3</cp:revision>
  <cp:lastPrinted>2020-03-13T14:13:00Z</cp:lastPrinted>
  <dcterms:created xsi:type="dcterms:W3CDTF">2025-05-13T16:33:00Z</dcterms:created>
  <dcterms:modified xsi:type="dcterms:W3CDTF">2025-05-13T19:05:00Z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2023-09-21T15:32:18Z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04fd095e-b97d-481e-90ca-2934ab58d310</vt:lpwstr>
  </property>
  <property fmtid="{D5CDD505-2E9C-101B-9397-08002B2CF9AE}" pid="9" name="MSIP_Label_60c3ebf9-3c2f-4745-a75f-55836bdb736f_ContentBits">
    <vt:lpwstr>2</vt:lpwstr>
  </property>
</Properties>
</file>