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402F" w14:textId="77777777" w:rsidR="00E23FA6" w:rsidRDefault="00E23FA6">
      <w:pPr>
        <w:jc w:val="center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927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040"/>
      </w:tblGrid>
      <w:tr w:rsidR="000C158A" w14:paraId="662A4034" w14:textId="77777777" w:rsidTr="001B0883">
        <w:tc>
          <w:tcPr>
            <w:tcW w:w="9270" w:type="dxa"/>
            <w:gridSpan w:val="2"/>
            <w:tcBorders>
              <w:top w:val="nil"/>
            </w:tcBorders>
            <w:vAlign w:val="bottom"/>
          </w:tcPr>
          <w:p w14:paraId="0A363049" w14:textId="77777777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NUMBER &amp; DESCRIPTION:</w:t>
            </w:r>
          </w:p>
          <w:p w14:paraId="662A4033" w14:textId="2008BC8D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</w:p>
        </w:tc>
      </w:tr>
      <w:tr w:rsidR="00AB114D" w14:paraId="662A4037" w14:textId="77777777" w:rsidTr="00597DAD">
        <w:tc>
          <w:tcPr>
            <w:tcW w:w="9270" w:type="dxa"/>
            <w:gridSpan w:val="2"/>
            <w:vAlign w:val="bottom"/>
          </w:tcPr>
          <w:p w14:paraId="662A4036" w14:textId="0E4726AE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MANAGER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A" w14:textId="77777777" w:rsidTr="00597DAD">
        <w:tc>
          <w:tcPr>
            <w:tcW w:w="9270" w:type="dxa"/>
            <w:gridSpan w:val="2"/>
            <w:vAlign w:val="bottom"/>
          </w:tcPr>
          <w:p w14:paraId="662A4039" w14:textId="75D75769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PROJECT SPONSOR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AB114D" w14:paraId="662A403D" w14:textId="77777777" w:rsidTr="00597DAD">
        <w:tc>
          <w:tcPr>
            <w:tcW w:w="9270" w:type="dxa"/>
            <w:gridSpan w:val="2"/>
            <w:tcBorders>
              <w:bottom w:val="single" w:sz="4" w:space="0" w:color="auto"/>
            </w:tcBorders>
            <w:vAlign w:val="bottom"/>
          </w:tcPr>
          <w:p w14:paraId="662A403C" w14:textId="346DAEC0" w:rsidR="00AB114D" w:rsidRPr="00FC7833" w:rsidRDefault="000C158A" w:rsidP="000C158A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CONSULTANT</w:t>
            </w:r>
            <w:r w:rsidR="00AB114D" w:rsidRPr="00FC7833">
              <w:rPr>
                <w:rFonts w:ascii="Segoe UI" w:hAnsi="Segoe UI" w:cs="Segoe UI"/>
                <w:b/>
              </w:rPr>
              <w:t>:</w:t>
            </w:r>
          </w:p>
        </w:tc>
      </w:tr>
      <w:tr w:rsidR="000C158A" w14:paraId="662A4044" w14:textId="77777777" w:rsidTr="000C158A"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662A4040" w14:textId="301260C2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DATE: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62A4043" w14:textId="5BFFBBAB" w:rsidR="000C158A" w:rsidRPr="00FC7833" w:rsidRDefault="000C158A" w:rsidP="00DB07A5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FC7833">
              <w:rPr>
                <w:rFonts w:ascii="Segoe UI" w:hAnsi="Segoe UI" w:cs="Segoe UI"/>
                <w:b/>
              </w:rPr>
              <w:t>LOCATION:</w:t>
            </w:r>
          </w:p>
        </w:tc>
      </w:tr>
    </w:tbl>
    <w:p w14:paraId="662A4045" w14:textId="72AFFD65" w:rsidR="00D127F7" w:rsidRDefault="00D127F7" w:rsidP="00D127F7">
      <w:pPr>
        <w:ind w:left="2160" w:hanging="2160"/>
        <w:rPr>
          <w:rFonts w:ascii="Arial" w:hAnsi="Arial"/>
          <w:b/>
          <w:sz w:val="22"/>
        </w:rPr>
      </w:pPr>
    </w:p>
    <w:p w14:paraId="573EBA7A" w14:textId="77777777" w:rsidR="00D55220" w:rsidRDefault="00D55220" w:rsidP="00D55220">
      <w:pPr>
        <w:pStyle w:val="Bullet1"/>
        <w:numPr>
          <w:ilvl w:val="0"/>
          <w:numId w:val="0"/>
        </w:numPr>
        <w:rPr>
          <w:rFonts w:eastAsia="Times New Roman" w:cs="Segoe UI"/>
          <w:lang w:eastAsia="en-CA"/>
        </w:rPr>
      </w:pPr>
      <w:r w:rsidRPr="00D55220">
        <w:rPr>
          <w:rFonts w:eastAsia="Times New Roman" w:cs="Segoe UI"/>
          <w:lang w:eastAsia="en-CA"/>
        </w:rPr>
        <w:t>In addition to the meeting agenda in the Engineering Consulting Guidelines, Volume 2, section, Appendix A.09-Typical Pre-Construction Meeting Agenda, edit these ag</w:t>
      </w:r>
      <w:r>
        <w:rPr>
          <w:rFonts w:eastAsia="Times New Roman" w:cs="Segoe UI"/>
          <w:lang w:eastAsia="en-CA"/>
        </w:rPr>
        <w:t>enda items to suit the project.</w:t>
      </w:r>
    </w:p>
    <w:p w14:paraId="25DA099D" w14:textId="186A2019" w:rsidR="00597DAD" w:rsidRDefault="00D55220" w:rsidP="00D55220">
      <w:pPr>
        <w:pStyle w:val="Bullet1"/>
        <w:numPr>
          <w:ilvl w:val="0"/>
          <w:numId w:val="0"/>
        </w:numPr>
        <w:rPr>
          <w:rFonts w:cs="Segoe UI"/>
        </w:rPr>
      </w:pPr>
      <w:r>
        <w:rPr>
          <w:rFonts w:eastAsia="Times New Roman" w:cs="Segoe UI"/>
          <w:lang w:eastAsia="en-CA"/>
        </w:rPr>
        <w:t>Note: T</w:t>
      </w:r>
      <w:r w:rsidRPr="00D55220">
        <w:rPr>
          <w:rFonts w:eastAsia="Times New Roman" w:cs="Segoe UI"/>
          <w:lang w:eastAsia="en-CA"/>
        </w:rPr>
        <w:t>his is not a complete list.</w:t>
      </w:r>
    </w:p>
    <w:p w14:paraId="76A276E2" w14:textId="77777777" w:rsidR="00D55220" w:rsidRPr="00597DAD" w:rsidRDefault="00D55220" w:rsidP="00D55220">
      <w:pPr>
        <w:pStyle w:val="Bullet1"/>
        <w:numPr>
          <w:ilvl w:val="0"/>
          <w:numId w:val="0"/>
        </w:numPr>
        <w:rPr>
          <w:rFonts w:cs="Segoe UI"/>
        </w:rPr>
      </w:pPr>
    </w:p>
    <w:p w14:paraId="00364246" w14:textId="7FA4B7D9" w:rsidR="00D55220" w:rsidRPr="00D55220" w:rsidRDefault="00D55220" w:rsidP="00D55220">
      <w:pPr>
        <w:pStyle w:val="Bullet1"/>
        <w:numPr>
          <w:ilvl w:val="0"/>
          <w:numId w:val="13"/>
        </w:numPr>
        <w:ind w:left="360"/>
      </w:pPr>
      <w:r w:rsidRPr="00D55220">
        <w:t>Project tender drawings (relevant to utility)</w:t>
      </w:r>
    </w:p>
    <w:p w14:paraId="566538A2" w14:textId="77777777" w:rsidR="00401CFF" w:rsidRDefault="00D55220" w:rsidP="00D55220">
      <w:pPr>
        <w:pStyle w:val="Bullet1"/>
        <w:numPr>
          <w:ilvl w:val="0"/>
          <w:numId w:val="13"/>
        </w:numPr>
        <w:ind w:left="360"/>
      </w:pPr>
      <w:r w:rsidRPr="00D55220">
        <w:t xml:space="preserve">Utility design drawings complete with plan, profile and cross-section information as required; </w:t>
      </w:r>
    </w:p>
    <w:p w14:paraId="1A201578" w14:textId="77777777" w:rsidR="00401CFF" w:rsidRDefault="00401CFF" w:rsidP="00D55220">
      <w:pPr>
        <w:pStyle w:val="Bullet1"/>
        <w:numPr>
          <w:ilvl w:val="0"/>
          <w:numId w:val="13"/>
        </w:numPr>
        <w:ind w:left="360"/>
      </w:pPr>
      <w:r>
        <w:t>The updated Utility Adjustment Matrix;</w:t>
      </w:r>
    </w:p>
    <w:p w14:paraId="3C992C68" w14:textId="2092DFD1" w:rsidR="00D55220" w:rsidRPr="00D55220" w:rsidRDefault="00401CFF" w:rsidP="00401CFF">
      <w:pPr>
        <w:pStyle w:val="Bullet1"/>
        <w:numPr>
          <w:ilvl w:val="0"/>
          <w:numId w:val="13"/>
        </w:numPr>
        <w:ind w:left="360"/>
      </w:pPr>
      <w:r>
        <w:t xml:space="preserve">The updated Utility Coordination Plan; </w:t>
      </w:r>
      <w:r w:rsidR="00D55220" w:rsidRPr="00D55220">
        <w:t>and</w:t>
      </w:r>
    </w:p>
    <w:p w14:paraId="5B49555E" w14:textId="7931F22B" w:rsidR="00D55220" w:rsidRPr="00D55220" w:rsidRDefault="00D55220" w:rsidP="00D55220">
      <w:pPr>
        <w:pStyle w:val="Bullet1"/>
        <w:numPr>
          <w:ilvl w:val="0"/>
          <w:numId w:val="13"/>
        </w:numPr>
        <w:ind w:left="360"/>
      </w:pPr>
      <w:r w:rsidRPr="00D55220">
        <w:t>Utility adjustment completion schedule. The following details may need to be discussed.</w:t>
      </w:r>
    </w:p>
    <w:p w14:paraId="275CD93B" w14:textId="75EFCE28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The order of adjustments (i.e. which utility goes first?)</w:t>
      </w:r>
    </w:p>
    <w:p w14:paraId="30067D5C" w14:textId="704025E6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When the first utility adjustment work can begin (i.e. are there any incomplete construction dependencies?)</w:t>
      </w:r>
    </w:p>
    <w:p w14:paraId="0403EC7F" w14:textId="16E58BFE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How long is it anticipated to complete each adjustment</w:t>
      </w:r>
    </w:p>
    <w:p w14:paraId="25946ED9" w14:textId="4D973797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If more than one adjustment can occur at the same time within the project limits</w:t>
      </w:r>
    </w:p>
    <w:p w14:paraId="4A6D42D6" w14:textId="003D0092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If adjustment timelines need to be phased within the project limits</w:t>
      </w:r>
    </w:p>
    <w:p w14:paraId="5CA9FAEF" w14:textId="514EDCA0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 xml:space="preserve">What adjustments </w:t>
      </w:r>
      <w:bookmarkStart w:id="0" w:name="_GoBack"/>
      <w:bookmarkEnd w:id="0"/>
      <w:r w:rsidRPr="00D55220">
        <w:t>are not constructible prior to commencement of the project’s construction (i.e. grading needs to be completed to allow the adjustment)</w:t>
      </w:r>
    </w:p>
    <w:p w14:paraId="000C91F2" w14:textId="690C6669" w:rsidR="00D55220" w:rsidRPr="00D55220" w:rsidRDefault="00D55220" w:rsidP="00D55220">
      <w:pPr>
        <w:pStyle w:val="Bullet1"/>
        <w:numPr>
          <w:ilvl w:val="1"/>
          <w:numId w:val="13"/>
        </w:numPr>
        <w:ind w:left="1080"/>
      </w:pPr>
      <w:r w:rsidRPr="00D55220">
        <w:t>If there are any temporary measures or structures required by the Utility Owners and/or Alberta Transportation</w:t>
      </w:r>
    </w:p>
    <w:p w14:paraId="7D47B2B3" w14:textId="3B34D95B" w:rsidR="00D55220" w:rsidRPr="00D55220" w:rsidRDefault="00D55220" w:rsidP="00D55220">
      <w:pPr>
        <w:pStyle w:val="Bullet1"/>
        <w:numPr>
          <w:ilvl w:val="0"/>
          <w:numId w:val="13"/>
        </w:numPr>
        <w:ind w:left="360"/>
      </w:pPr>
      <w:r w:rsidRPr="00D55220">
        <w:t>Communication plan and issue resolution.</w:t>
      </w:r>
    </w:p>
    <w:p w14:paraId="160A5408" w14:textId="5181BC71" w:rsidR="00597DAD" w:rsidRPr="00D55220" w:rsidRDefault="00D55220" w:rsidP="00D55220">
      <w:pPr>
        <w:pStyle w:val="Bullet1"/>
        <w:numPr>
          <w:ilvl w:val="0"/>
          <w:numId w:val="13"/>
        </w:numPr>
        <w:ind w:left="360"/>
      </w:pPr>
      <w:r w:rsidRPr="00D55220">
        <w:t>Any other items that may affect the utility adjustment schedule.</w:t>
      </w:r>
    </w:p>
    <w:sectPr w:rsidR="00597DAD" w:rsidRPr="00D55220">
      <w:headerReference w:type="default" r:id="rId11"/>
      <w:footerReference w:type="default" r:id="rId12"/>
      <w:pgSz w:w="12240" w:h="15840"/>
      <w:pgMar w:top="446" w:right="1440" w:bottom="720" w:left="144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40A0" w14:textId="77777777" w:rsidR="00A100F6" w:rsidRDefault="00A100F6">
      <w:r>
        <w:separator/>
      </w:r>
    </w:p>
  </w:endnote>
  <w:endnote w:type="continuationSeparator" w:id="0">
    <w:p w14:paraId="662A40A1" w14:textId="77777777" w:rsidR="00A100F6" w:rsidRDefault="00A1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F787" w14:textId="5349869A" w:rsidR="000A4884" w:rsidRDefault="000A4884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401CFF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662A40A6" w14:textId="0077D131" w:rsidR="00935533" w:rsidRPr="00971EB1" w:rsidRDefault="000A4884">
    <w:pPr>
      <w:pStyle w:val="Footer"/>
      <w:rPr>
        <w:rFonts w:ascii="Segoe UI" w:hAnsi="Segoe UI" w:cs="Segoe UI"/>
      </w:rPr>
    </w:pPr>
    <w:r>
      <w:rPr>
        <w:rFonts w:ascii="Segoe UI" w:hAnsi="Segoe UI" w:cs="Segoe UI"/>
      </w:rPr>
      <w:t xml:space="preserve">Appendix I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409E" w14:textId="77777777" w:rsidR="00A100F6" w:rsidRDefault="00A100F6">
      <w:r>
        <w:separator/>
      </w:r>
    </w:p>
  </w:footnote>
  <w:footnote w:type="continuationSeparator" w:id="0">
    <w:p w14:paraId="662A409F" w14:textId="77777777" w:rsidR="00A100F6" w:rsidRDefault="00A1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40A2" w14:textId="77777777" w:rsidR="007C4008" w:rsidRDefault="007C4008" w:rsidP="007C4008">
    <w:pPr>
      <w:pStyle w:val="Heading1"/>
      <w:jc w:val="cent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662A40A7" wp14:editId="662A40A8">
          <wp:simplePos x="0" y="0"/>
          <wp:positionH relativeFrom="column">
            <wp:posOffset>-66675</wp:posOffset>
          </wp:positionH>
          <wp:positionV relativeFrom="paragraph">
            <wp:posOffset>-635</wp:posOffset>
          </wp:positionV>
          <wp:extent cx="1325880" cy="566420"/>
          <wp:effectExtent l="0" t="0" r="7620" b="5080"/>
          <wp:wrapTight wrapText="bothSides">
            <wp:wrapPolygon edited="0">
              <wp:start x="0" y="0"/>
              <wp:lineTo x="0" y="21067"/>
              <wp:lineTo x="21414" y="21067"/>
              <wp:lineTo x="21414" y="0"/>
              <wp:lineTo x="0" y="0"/>
            </wp:wrapPolygon>
          </wp:wrapTight>
          <wp:docPr id="2" name="Picture 2" descr="Description: https://intranet.transportation.alberta.ca/commu/Shared%20Documents/Transportation%20Logos/AB-Transportation%20Black%20RGB%20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intranet.transportation.alberta.ca/commu/Shared%20Documents/Transportation%20Logos/AB-Transportation%20Black%20RGB%20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62A40A4" w14:textId="3E20FB94" w:rsidR="007C4008" w:rsidRPr="00772D18" w:rsidRDefault="00D55220" w:rsidP="00C158ED">
    <w:pPr>
      <w:pStyle w:val="Heading1"/>
      <w:ind w:firstLine="720"/>
      <w:jc w:val="center"/>
      <w:rPr>
        <w:rFonts w:cs="Arial"/>
        <w:b w:val="0"/>
        <w:sz w:val="28"/>
        <w:szCs w:val="28"/>
      </w:rPr>
    </w:pPr>
    <w:r>
      <w:rPr>
        <w:sz w:val="28"/>
        <w:szCs w:val="28"/>
      </w:rPr>
      <w:t xml:space="preserve">                     </w:t>
    </w:r>
    <w:r w:rsidR="00597DAD">
      <w:rPr>
        <w:sz w:val="28"/>
        <w:szCs w:val="28"/>
      </w:rPr>
      <w:t xml:space="preserve">PROJECT </w:t>
    </w:r>
    <w:r>
      <w:rPr>
        <w:sz w:val="28"/>
        <w:szCs w:val="28"/>
      </w:rPr>
      <w:t xml:space="preserve">PRE-CONSTRUCTION MEETING </w:t>
    </w:r>
    <w:r w:rsidR="007C4008" w:rsidRPr="00772D18">
      <w:rPr>
        <w:sz w:val="28"/>
        <w:szCs w:val="28"/>
      </w:rPr>
      <w:t>AGENDA</w:t>
    </w:r>
    <w:r w:rsidR="00597DAD">
      <w:rPr>
        <w:sz w:val="28"/>
        <w:szCs w:val="28"/>
      </w:rPr>
      <w:t xml:space="preserve"> – UTILITY ITEMS</w:t>
    </w:r>
  </w:p>
  <w:p w14:paraId="662A40A5" w14:textId="77777777" w:rsidR="00142D9C" w:rsidRDefault="006306F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2A40A9" wp14:editId="7C401F4E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59436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6786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rmEg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" o:allowincell="f" strokeweight="1.5pt"/>
          </w:pict>
        </mc:Fallback>
      </mc:AlternateContent>
    </w:r>
    <w:r w:rsidR="00142D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815"/>
    <w:multiLevelType w:val="multilevel"/>
    <w:tmpl w:val="66F65230"/>
    <w:lvl w:ilvl="0">
      <w:start w:val="1"/>
      <w:numFmt w:val="decimal"/>
      <w:lvlText w:val="%1)"/>
      <w:lvlJc w:val="left"/>
      <w:pPr>
        <w:tabs>
          <w:tab w:val="num" w:pos="2520"/>
        </w:tabs>
        <w:ind w:left="1800" w:hanging="360"/>
      </w:pPr>
      <w:rPr>
        <w:rFonts w:hint="default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3502653"/>
    <w:multiLevelType w:val="hybridMultilevel"/>
    <w:tmpl w:val="B626690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2A890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8A3C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C3030B"/>
    <w:multiLevelType w:val="multilevel"/>
    <w:tmpl w:val="6D9C7B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303A4FB0"/>
    <w:multiLevelType w:val="hybridMultilevel"/>
    <w:tmpl w:val="93628E5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5E5A6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7FD2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9A78BE"/>
    <w:multiLevelType w:val="multilevel"/>
    <w:tmpl w:val="E66C6D72"/>
    <w:lvl w:ilvl="0">
      <w:start w:val="1"/>
      <w:numFmt w:val="decimal"/>
      <w:lvlText w:val="%1)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bullet"/>
      <w:lvlText w:val="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AF971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2"/>
  </w:num>
  <w:num w:numId="12">
    <w:abstractNumId w:val="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9C"/>
    <w:rsid w:val="000179C3"/>
    <w:rsid w:val="000219AE"/>
    <w:rsid w:val="0003476F"/>
    <w:rsid w:val="00034E33"/>
    <w:rsid w:val="0003770F"/>
    <w:rsid w:val="00091D19"/>
    <w:rsid w:val="000A4884"/>
    <w:rsid w:val="000C158A"/>
    <w:rsid w:val="000E3C9C"/>
    <w:rsid w:val="00103EA0"/>
    <w:rsid w:val="00107262"/>
    <w:rsid w:val="00142D9C"/>
    <w:rsid w:val="00171F90"/>
    <w:rsid w:val="001974C2"/>
    <w:rsid w:val="001C44A9"/>
    <w:rsid w:val="001F38D4"/>
    <w:rsid w:val="002079F4"/>
    <w:rsid w:val="00217B7A"/>
    <w:rsid w:val="00261463"/>
    <w:rsid w:val="0027022A"/>
    <w:rsid w:val="00280AE2"/>
    <w:rsid w:val="00286234"/>
    <w:rsid w:val="0029159F"/>
    <w:rsid w:val="00292375"/>
    <w:rsid w:val="002A2AA8"/>
    <w:rsid w:val="002B16D1"/>
    <w:rsid w:val="002F1128"/>
    <w:rsid w:val="00334521"/>
    <w:rsid w:val="00344DE9"/>
    <w:rsid w:val="003862A7"/>
    <w:rsid w:val="00387D07"/>
    <w:rsid w:val="0039303A"/>
    <w:rsid w:val="003A13D2"/>
    <w:rsid w:val="003A5B61"/>
    <w:rsid w:val="003B5716"/>
    <w:rsid w:val="003F3E2F"/>
    <w:rsid w:val="00401CFF"/>
    <w:rsid w:val="00421E05"/>
    <w:rsid w:val="00436C35"/>
    <w:rsid w:val="004969DB"/>
    <w:rsid w:val="004A4881"/>
    <w:rsid w:val="004B5570"/>
    <w:rsid w:val="004C36C3"/>
    <w:rsid w:val="004C5679"/>
    <w:rsid w:val="004D759E"/>
    <w:rsid w:val="004F1D48"/>
    <w:rsid w:val="00541688"/>
    <w:rsid w:val="005419D4"/>
    <w:rsid w:val="0056359B"/>
    <w:rsid w:val="00597DAD"/>
    <w:rsid w:val="005B056B"/>
    <w:rsid w:val="005B30C7"/>
    <w:rsid w:val="005E25AA"/>
    <w:rsid w:val="006165A4"/>
    <w:rsid w:val="00623C23"/>
    <w:rsid w:val="006306F7"/>
    <w:rsid w:val="00686257"/>
    <w:rsid w:val="006C5E7C"/>
    <w:rsid w:val="006F08B5"/>
    <w:rsid w:val="0071389F"/>
    <w:rsid w:val="00720EAC"/>
    <w:rsid w:val="0072107B"/>
    <w:rsid w:val="00736131"/>
    <w:rsid w:val="007458DA"/>
    <w:rsid w:val="00753AFE"/>
    <w:rsid w:val="00772D18"/>
    <w:rsid w:val="00784328"/>
    <w:rsid w:val="007845B2"/>
    <w:rsid w:val="007C4008"/>
    <w:rsid w:val="007F4230"/>
    <w:rsid w:val="00876459"/>
    <w:rsid w:val="00882211"/>
    <w:rsid w:val="00886582"/>
    <w:rsid w:val="0088740D"/>
    <w:rsid w:val="00890C65"/>
    <w:rsid w:val="008B2E16"/>
    <w:rsid w:val="0090097B"/>
    <w:rsid w:val="009269F1"/>
    <w:rsid w:val="00935533"/>
    <w:rsid w:val="00936A5E"/>
    <w:rsid w:val="009505C4"/>
    <w:rsid w:val="00971EB1"/>
    <w:rsid w:val="009A1B26"/>
    <w:rsid w:val="009B2579"/>
    <w:rsid w:val="009B3437"/>
    <w:rsid w:val="009E2EAE"/>
    <w:rsid w:val="009F3CE3"/>
    <w:rsid w:val="00A00E66"/>
    <w:rsid w:val="00A0309A"/>
    <w:rsid w:val="00A100F6"/>
    <w:rsid w:val="00A71131"/>
    <w:rsid w:val="00AB114D"/>
    <w:rsid w:val="00AC45AC"/>
    <w:rsid w:val="00AC5FF7"/>
    <w:rsid w:val="00AD2494"/>
    <w:rsid w:val="00AD2501"/>
    <w:rsid w:val="00AE281C"/>
    <w:rsid w:val="00B35793"/>
    <w:rsid w:val="00B6738F"/>
    <w:rsid w:val="00BA5532"/>
    <w:rsid w:val="00BD380A"/>
    <w:rsid w:val="00C158ED"/>
    <w:rsid w:val="00C17963"/>
    <w:rsid w:val="00C26B44"/>
    <w:rsid w:val="00C42765"/>
    <w:rsid w:val="00C91CAE"/>
    <w:rsid w:val="00D04215"/>
    <w:rsid w:val="00D0608A"/>
    <w:rsid w:val="00D127F7"/>
    <w:rsid w:val="00D21475"/>
    <w:rsid w:val="00D36A8C"/>
    <w:rsid w:val="00D537B0"/>
    <w:rsid w:val="00D55220"/>
    <w:rsid w:val="00D57DA7"/>
    <w:rsid w:val="00D817F6"/>
    <w:rsid w:val="00DB07A5"/>
    <w:rsid w:val="00E2121D"/>
    <w:rsid w:val="00E21DFF"/>
    <w:rsid w:val="00E23FA6"/>
    <w:rsid w:val="00E33A11"/>
    <w:rsid w:val="00E66DD4"/>
    <w:rsid w:val="00E715DE"/>
    <w:rsid w:val="00F23F08"/>
    <w:rsid w:val="00F400A5"/>
    <w:rsid w:val="00F44E8C"/>
    <w:rsid w:val="00F90DDA"/>
    <w:rsid w:val="00FC7833"/>
    <w:rsid w:val="00FE0499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662A402F"/>
  <w15:docId w15:val="{A8CD3EC5-ED7C-401A-B2B9-8AA1B10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right"/>
      <w:outlineLvl w:val="3"/>
    </w:pPr>
    <w:rPr>
      <w:rFonts w:ascii="Arial" w:hAnsi="Arial"/>
      <w:b/>
      <w:sz w:val="4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90"/>
    </w:pPr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rsid w:val="007C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00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1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40D"/>
    <w:pPr>
      <w:ind w:left="720"/>
      <w:contextualSpacing/>
    </w:pPr>
  </w:style>
  <w:style w:type="paragraph" w:customStyle="1" w:styleId="manual8">
    <w:name w:val="manual8"/>
    <w:basedOn w:val="Normal"/>
    <w:rsid w:val="00E66DD4"/>
    <w:pPr>
      <w:widowControl w:val="0"/>
      <w:autoSpaceDE w:val="0"/>
      <w:autoSpaceDN w:val="0"/>
      <w:adjustRightInd w:val="0"/>
      <w:ind w:left="1440" w:hanging="720"/>
    </w:pPr>
    <w:rPr>
      <w:rFonts w:ascii="Shruti" w:hAnsi="Shruti"/>
      <w:sz w:val="24"/>
      <w:szCs w:val="24"/>
    </w:rPr>
  </w:style>
  <w:style w:type="paragraph" w:customStyle="1" w:styleId="Bullet1">
    <w:name w:val="Bullet 1"/>
    <w:basedOn w:val="Normal"/>
    <w:uiPriority w:val="3"/>
    <w:qFormat/>
    <w:rsid w:val="00597DAD"/>
    <w:pPr>
      <w:numPr>
        <w:numId w:val="9"/>
      </w:numPr>
      <w:spacing w:before="120" w:after="12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2">
    <w:name w:val="Bullet 2"/>
    <w:basedOn w:val="Normal"/>
    <w:uiPriority w:val="3"/>
    <w:qFormat/>
    <w:rsid w:val="00597DAD"/>
    <w:pPr>
      <w:numPr>
        <w:ilvl w:val="1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Bullet3">
    <w:name w:val="Bullet 3"/>
    <w:basedOn w:val="Normal"/>
    <w:uiPriority w:val="3"/>
    <w:qFormat/>
    <w:rsid w:val="00597DAD"/>
    <w:pPr>
      <w:numPr>
        <w:ilvl w:val="2"/>
        <w:numId w:val="9"/>
      </w:numPr>
      <w:spacing w:before="120" w:after="180" w:line="264" w:lineRule="auto"/>
      <w:contextualSpacing/>
    </w:pPr>
    <w:rPr>
      <w:rFonts w:ascii="Segoe UI" w:eastAsiaTheme="minorHAnsi" w:hAnsi="Segoe UI" w:cstheme="minorBidi"/>
      <w:sz w:val="22"/>
      <w:szCs w:val="22"/>
      <w:lang w:val="en-CA"/>
    </w:rPr>
  </w:style>
  <w:style w:type="paragraph" w:customStyle="1" w:styleId="Subhead1">
    <w:name w:val="Subhead 1"/>
    <w:basedOn w:val="BodyText"/>
    <w:next w:val="BodyText"/>
    <w:uiPriority w:val="5"/>
    <w:qFormat/>
    <w:rsid w:val="00597DAD"/>
    <w:pPr>
      <w:keepNext/>
      <w:spacing w:before="240" w:after="60"/>
      <w:ind w:left="720"/>
    </w:pPr>
    <w:rPr>
      <w:rFonts w:ascii="Segoe UI" w:eastAsiaTheme="minorHAnsi" w:hAnsi="Segoe UI" w:cs="Segoe UI"/>
      <w:b/>
      <w:sz w:val="24"/>
      <w:szCs w:val="22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0A488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s\ARA%20Engineering\AR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DOCID-1401110945-2041</_dlc_DocId>
    <_dlc_DocIdUrl xmlns="ab026814-f547-4728-b6ee-4d85c9fef7e4">
      <Url>https://share.tbfsp.gov.ab.ca/CPE/outreach/WebTeams/_layouts/15/DocIdRedir.aspx?ID=DOCID-1401110945-2041</Url>
      <Description>DOCID-1401110945-2041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D3E198-1D46-473F-9E19-48D602BAD81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4163c6-b68e-4c40-8e35-707a7d4f43a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0BAE5D-7275-411A-8269-E541F6E35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4EBE9-5EE9-452E-A073-5FC3D5032622}"/>
</file>

<file path=customXml/itemProps4.xml><?xml version="1.0" encoding="utf-8"?>
<ds:datastoreItem xmlns:ds="http://schemas.openxmlformats.org/officeDocument/2006/customXml" ds:itemID="{53F1C94B-182D-4C85-BF2C-5044DABE82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D1AFDD-9865-4651-AE92-8C38C0F34312}"/>
</file>

<file path=docProps/app.xml><?xml version="1.0" encoding="utf-8"?>
<Properties xmlns="http://schemas.openxmlformats.org/officeDocument/2006/extended-properties" xmlns:vt="http://schemas.openxmlformats.org/officeDocument/2006/docPropsVTypes">
  <Template>ARA Letterhead</Template>
  <TotalTime>198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Preconstruction Meeting Agenda</vt:lpstr>
    </vt:vector>
  </TitlesOfParts>
  <Company>GoA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Preconstruction Meeting Agenda</dc:title>
  <dc:subject>Agenda</dc:subject>
  <dc:creator>Alberta Transportation, GoA</dc:creator>
  <cp:keywords>Construction, Meeting Agenda, Utilities, Alberta Transportation, Utility Coordination, Process</cp:keywords>
  <cp:lastModifiedBy>Anjita Parajuli</cp:lastModifiedBy>
  <cp:revision>100</cp:revision>
  <cp:lastPrinted>2013-12-10T18:00:00Z</cp:lastPrinted>
  <dcterms:created xsi:type="dcterms:W3CDTF">2013-02-19T18:29:00Z</dcterms:created>
  <dcterms:modified xsi:type="dcterms:W3CDTF">2020-03-27T16:52:00Z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07fc5b63-7b34-4a57-9fd0-cc5817bdf31f</vt:lpwstr>
  </property>
</Properties>
</file>