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602151" w:rsidP="004B2333">
      <w:pPr>
        <w:jc w:val="center"/>
        <w:rPr>
          <w:b/>
          <w:smallCaps/>
          <w:sz w:val="22"/>
          <w:szCs w:val="22"/>
        </w:rPr>
      </w:pPr>
      <w:bookmarkStart w:id="0" w:name="_GoBack"/>
      <w:bookmarkEnd w:id="0"/>
      <w:r w:rsidRPr="00602151">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070EB9">
        <w:rPr>
          <w:rFonts w:ascii="Arial Bold" w:hAnsi="Arial Bold" w:cs="Arial"/>
          <w:b/>
          <w:bCs/>
          <w:iCs/>
          <w:smallCaps/>
          <w:sz w:val="22"/>
          <w:szCs w:val="22"/>
        </w:rPr>
        <w:t>2</w:t>
      </w:r>
      <w:r w:rsidR="00150114">
        <w:rPr>
          <w:rFonts w:ascii="Arial Bold" w:hAnsi="Arial Bold" w:cs="Arial"/>
          <w:b/>
          <w:bCs/>
          <w:iCs/>
          <w:smallCaps/>
          <w:sz w:val="22"/>
          <w:szCs w:val="22"/>
        </w:rPr>
        <w:t>6</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150114">
        <w:rPr>
          <w:rFonts w:ascii="Arial Bold" w:hAnsi="Arial Bold" w:cs="Arial"/>
          <w:b/>
          <w:bCs/>
          <w:iCs/>
          <w:smallCaps/>
          <w:sz w:val="22"/>
          <w:szCs w:val="22"/>
        </w:rPr>
        <w:t>RCP and PBC Structures</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2673F1">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r w:rsidR="0051429E">
        <w:rPr>
          <w:rFonts w:ascii="Arial Bold" w:hAnsi="Arial Bold" w:cs="Arial"/>
          <w:b/>
          <w:bCs/>
          <w:iCs/>
          <w:smallCaps/>
          <w:sz w:val="22"/>
          <w:szCs w:val="22"/>
        </w:rPr>
        <w:t xml:space="preserve"> Verification</w:t>
      </w:r>
      <w:bookmarkEnd w:id="1"/>
    </w:p>
    <w:p w:rsidR="005B05F5" w:rsidRDefault="008013A5" w:rsidP="00AB660D">
      <w:pPr>
        <w:widowControl w:val="0"/>
        <w:autoSpaceDE w:val="0"/>
        <w:autoSpaceDN w:val="0"/>
        <w:adjustRightInd w:val="0"/>
        <w:rPr>
          <w:sz w:val="22"/>
          <w:szCs w:val="22"/>
        </w:rPr>
      </w:pPr>
      <w:r w:rsidRPr="008013A5">
        <w:rPr>
          <w:sz w:val="22"/>
          <w:szCs w:val="22"/>
        </w:rPr>
        <w:t xml:space="preserve">The </w:t>
      </w:r>
      <w:r w:rsidR="00673F59">
        <w:rPr>
          <w:sz w:val="22"/>
          <w:szCs w:val="22"/>
        </w:rPr>
        <w:t>third</w:t>
      </w:r>
      <w:r w:rsidR="005B05F5">
        <w:rPr>
          <w:sz w:val="22"/>
          <w:szCs w:val="22"/>
        </w:rPr>
        <w:t xml:space="preserve"> paragraph of Subsection </w:t>
      </w:r>
      <w:r w:rsidR="00070EB9">
        <w:rPr>
          <w:sz w:val="22"/>
          <w:szCs w:val="22"/>
        </w:rPr>
        <w:t>2</w:t>
      </w:r>
      <w:r w:rsidR="00150114">
        <w:rPr>
          <w:sz w:val="22"/>
          <w:szCs w:val="22"/>
        </w:rPr>
        <w:t>6.2</w:t>
      </w:r>
      <w:r w:rsidR="00E709A4">
        <w:rPr>
          <w:sz w:val="22"/>
          <w:szCs w:val="22"/>
        </w:rPr>
        <w:t>.</w:t>
      </w:r>
      <w:r w:rsidR="00150114">
        <w:rPr>
          <w:sz w:val="22"/>
          <w:szCs w:val="22"/>
        </w:rPr>
        <w:t>4.</w:t>
      </w:r>
      <w:r w:rsidR="00070EB9">
        <w:rPr>
          <w:sz w:val="22"/>
          <w:szCs w:val="22"/>
        </w:rPr>
        <w:t>3</w:t>
      </w:r>
      <w:r w:rsidR="005B05F5">
        <w:rPr>
          <w:sz w:val="22"/>
          <w:szCs w:val="22"/>
        </w:rPr>
        <w:t xml:space="preserve">, </w:t>
      </w:r>
      <w:r w:rsidR="00FC44C0">
        <w:rPr>
          <w:sz w:val="22"/>
          <w:szCs w:val="22"/>
        </w:rPr>
        <w:t>Mill Test Reports</w:t>
      </w:r>
      <w:r w:rsidR="00150114">
        <w:rPr>
          <w:sz w:val="22"/>
          <w:szCs w:val="22"/>
        </w:rPr>
        <w:t xml:space="preserve"> and Product Data Sheets</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673F59" w:rsidRDefault="00673F59">
      <w:pPr>
        <w:rPr>
          <w:sz w:val="22"/>
          <w:szCs w:val="22"/>
        </w:rPr>
      </w:pPr>
    </w:p>
    <w:p w:rsidR="00673F59" w:rsidRDefault="00673F59" w:rsidP="00673F59">
      <w:pPr>
        <w:rPr>
          <w:sz w:val="22"/>
          <w:szCs w:val="22"/>
        </w:rPr>
      </w:pPr>
    </w:p>
    <w:p w:rsidR="004B2333" w:rsidRPr="00673F59" w:rsidRDefault="004B2333" w:rsidP="00673F59">
      <w:pPr>
        <w:jc w:val="center"/>
        <w:rPr>
          <w:sz w:val="22"/>
          <w:szCs w:val="22"/>
        </w:rPr>
      </w:pPr>
    </w:p>
    <w:sectPr w:rsidR="004B2333" w:rsidRPr="00673F59"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25" w:rsidRDefault="00B15125" w:rsidP="00DA15C6">
      <w:r>
        <w:separator/>
      </w:r>
    </w:p>
  </w:endnote>
  <w:endnote w:type="continuationSeparator" w:id="0">
    <w:p w:rsidR="00B15125" w:rsidRDefault="00B15125"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2673F1" w:rsidP="005333F5">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f71345fe80040bec7a02b90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673F1" w:rsidRPr="005333F5" w:rsidRDefault="005333F5" w:rsidP="005333F5">
                          <w:pPr>
                            <w:jc w:val="left"/>
                            <w:rPr>
                              <w:rFonts w:ascii="Calibri" w:hAnsi="Calibri" w:cs="Calibri"/>
                              <w:color w:val="000000"/>
                              <w:sz w:val="22"/>
                            </w:rPr>
                          </w:pPr>
                          <w:r w:rsidRPr="005333F5">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71345fe80040bec7a02b90b"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3TXGHBsDAAA1BgAADgAAAAAAAAAAAAAA&#10;AAAuAgAAZHJzL2Uyb0RvYy54bWxQSwECLQAUAAYACAAAACEAM/BRG9wAAAALAQAADwAAAAAAAAAA&#10;AAAAAAB1BQAAZHJzL2Rvd25yZXYueG1sUEsFBgAAAAAEAAQA8wAAAH4GAAAAAA==&#10;" o:allowincell="f" filled="f" stroked="f" strokeweight=".5pt">
              <v:textbox inset="20pt,0,,0">
                <w:txbxContent>
                  <w:p w:rsidR="002673F1" w:rsidRPr="005333F5" w:rsidRDefault="005333F5" w:rsidP="005333F5">
                    <w:pPr>
                      <w:jc w:val="left"/>
                      <w:rPr>
                        <w:rFonts w:ascii="Calibri" w:hAnsi="Calibri" w:cs="Calibri"/>
                        <w:color w:val="000000"/>
                        <w:sz w:val="22"/>
                      </w:rPr>
                    </w:pPr>
                    <w:r w:rsidRPr="005333F5">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4A5D5B">
      <w:t>4, 2021</w:t>
    </w:r>
    <w:r w:rsidR="005333F5">
      <w:tab/>
    </w:r>
    <w:r w:rsidR="005333F5">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25" w:rsidRDefault="00B15125" w:rsidP="00DA15C6">
      <w:r>
        <w:separator/>
      </w:r>
    </w:p>
  </w:footnote>
  <w:footnote w:type="continuationSeparator" w:id="0">
    <w:p w:rsidR="00B15125" w:rsidRDefault="00B15125"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w:t>
    </w:r>
    <w:r w:rsidR="00673F59">
      <w:rPr>
        <w:sz w:val="28"/>
        <w:szCs w:val="28"/>
      </w:rPr>
      <w:t>2</w:t>
    </w:r>
    <w:r w:rsidR="00150114">
      <w:rPr>
        <w:sz w:val="28"/>
        <w:szCs w:val="28"/>
      </w:rPr>
      <w:t>4</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2673F1">
      <w:rPr>
        <w:b/>
        <w:i/>
        <w:color w:val="B2A1C7" w:themeColor="accent4" w:themeTint="99"/>
        <w:sz w:val="36"/>
        <w:szCs w:val="36"/>
      </w:rPr>
      <w:t xml:space="preserve">2017 </w:t>
    </w:r>
    <w:r w:rsidR="005B05F5">
      <w:rPr>
        <w:b/>
        <w:i/>
        <w:color w:val="B2A1C7" w:themeColor="accent4" w:themeTint="99"/>
        <w:sz w:val="36"/>
        <w:szCs w:val="36"/>
      </w:rPr>
      <w:t xml:space="preserve">SSBC SECTION </w:t>
    </w:r>
    <w:r w:rsidR="00070EB9">
      <w:rPr>
        <w:b/>
        <w:i/>
        <w:color w:val="B2A1C7" w:themeColor="accent4" w:themeTint="99"/>
        <w:sz w:val="36"/>
        <w:szCs w:val="36"/>
      </w:rPr>
      <w:t>2</w:t>
    </w:r>
    <w:r w:rsidR="00150114">
      <w:rPr>
        <w:b/>
        <w:i/>
        <w:color w:val="B2A1C7" w:themeColor="accent4" w:themeTint="99"/>
        <w:sz w:val="36"/>
        <w:szCs w:val="36"/>
      </w:rPr>
      <w:t>6</w:t>
    </w:r>
    <w:r w:rsidR="005B05F5">
      <w:rPr>
        <w:b/>
        <w:i/>
        <w:color w:val="B2A1C7" w:themeColor="accent4" w:themeTint="99"/>
        <w:sz w:val="36"/>
        <w:szCs w:val="36"/>
      </w:rPr>
      <w:t xml:space="preserve">, </w:t>
    </w:r>
    <w:r w:rsidR="00150114">
      <w:rPr>
        <w:b/>
        <w:i/>
        <w:color w:val="B2A1C7" w:themeColor="accent4" w:themeTint="99"/>
        <w:sz w:val="36"/>
        <w:szCs w:val="36"/>
      </w:rPr>
      <w:t>RCP AND PBC STRUCTURES</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0EB9"/>
    <w:rsid w:val="000728DC"/>
    <w:rsid w:val="00077EC9"/>
    <w:rsid w:val="0009494F"/>
    <w:rsid w:val="00094BC3"/>
    <w:rsid w:val="000A6B9D"/>
    <w:rsid w:val="000E00AE"/>
    <w:rsid w:val="001179C8"/>
    <w:rsid w:val="00150114"/>
    <w:rsid w:val="00175453"/>
    <w:rsid w:val="00193D72"/>
    <w:rsid w:val="001B07DC"/>
    <w:rsid w:val="001D6AB1"/>
    <w:rsid w:val="00221203"/>
    <w:rsid w:val="002243A7"/>
    <w:rsid w:val="00227CF8"/>
    <w:rsid w:val="002673F1"/>
    <w:rsid w:val="002774D9"/>
    <w:rsid w:val="00281FF5"/>
    <w:rsid w:val="00286EF4"/>
    <w:rsid w:val="002A0375"/>
    <w:rsid w:val="002A0997"/>
    <w:rsid w:val="002D6095"/>
    <w:rsid w:val="0030135B"/>
    <w:rsid w:val="00324843"/>
    <w:rsid w:val="00341591"/>
    <w:rsid w:val="003445C6"/>
    <w:rsid w:val="00381D75"/>
    <w:rsid w:val="00387989"/>
    <w:rsid w:val="003B0F37"/>
    <w:rsid w:val="0041336F"/>
    <w:rsid w:val="004A5D5B"/>
    <w:rsid w:val="004B2333"/>
    <w:rsid w:val="004D371D"/>
    <w:rsid w:val="005123D8"/>
    <w:rsid w:val="0051429E"/>
    <w:rsid w:val="005333F5"/>
    <w:rsid w:val="00591B89"/>
    <w:rsid w:val="005B05F5"/>
    <w:rsid w:val="005B168A"/>
    <w:rsid w:val="005D3225"/>
    <w:rsid w:val="00602151"/>
    <w:rsid w:val="006640DE"/>
    <w:rsid w:val="00666FFC"/>
    <w:rsid w:val="00673F59"/>
    <w:rsid w:val="006B45FE"/>
    <w:rsid w:val="00717A63"/>
    <w:rsid w:val="00721190"/>
    <w:rsid w:val="00727D71"/>
    <w:rsid w:val="007503F1"/>
    <w:rsid w:val="00772267"/>
    <w:rsid w:val="007D3665"/>
    <w:rsid w:val="008013A5"/>
    <w:rsid w:val="00830D75"/>
    <w:rsid w:val="00895E33"/>
    <w:rsid w:val="008A00A4"/>
    <w:rsid w:val="008B7B6A"/>
    <w:rsid w:val="008C537E"/>
    <w:rsid w:val="008E5A7F"/>
    <w:rsid w:val="008F7D6B"/>
    <w:rsid w:val="00911B98"/>
    <w:rsid w:val="00934077"/>
    <w:rsid w:val="00950D05"/>
    <w:rsid w:val="009829F5"/>
    <w:rsid w:val="009E1081"/>
    <w:rsid w:val="00A035D6"/>
    <w:rsid w:val="00A27D01"/>
    <w:rsid w:val="00A41C98"/>
    <w:rsid w:val="00A728EF"/>
    <w:rsid w:val="00A7734D"/>
    <w:rsid w:val="00A804B8"/>
    <w:rsid w:val="00AA099F"/>
    <w:rsid w:val="00AA2EE2"/>
    <w:rsid w:val="00AB011B"/>
    <w:rsid w:val="00AB5A6E"/>
    <w:rsid w:val="00AB660D"/>
    <w:rsid w:val="00B15125"/>
    <w:rsid w:val="00B834CE"/>
    <w:rsid w:val="00BA6228"/>
    <w:rsid w:val="00BD36CB"/>
    <w:rsid w:val="00C417F6"/>
    <w:rsid w:val="00C71EAF"/>
    <w:rsid w:val="00C95DA3"/>
    <w:rsid w:val="00CB0207"/>
    <w:rsid w:val="00CB2D1A"/>
    <w:rsid w:val="00D00F9A"/>
    <w:rsid w:val="00D15401"/>
    <w:rsid w:val="00D52589"/>
    <w:rsid w:val="00D67DF9"/>
    <w:rsid w:val="00DA15C6"/>
    <w:rsid w:val="00DB4312"/>
    <w:rsid w:val="00DC7D40"/>
    <w:rsid w:val="00DF45F1"/>
    <w:rsid w:val="00E17239"/>
    <w:rsid w:val="00E344A5"/>
    <w:rsid w:val="00E40074"/>
    <w:rsid w:val="00E46798"/>
    <w:rsid w:val="00E709A4"/>
    <w:rsid w:val="00E930E8"/>
    <w:rsid w:val="00EB5C26"/>
    <w:rsid w:val="00EF4F00"/>
    <w:rsid w:val="00F07386"/>
    <w:rsid w:val="00F13903"/>
    <w:rsid w:val="00F25BA1"/>
    <w:rsid w:val="00F47EC4"/>
    <w:rsid w:val="00F70C3D"/>
    <w:rsid w:val="00F833C0"/>
    <w:rsid w:val="00FC44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8FB0D4-BC44-4E36-AA3D-2F6B6872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5337-282E-463E-A72C-13BE3FC3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 RCP and PBC Structures</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RCP and PBC Structures</dc:title>
  <dc:subject>Specification Amendment</dc:subject>
  <dc:creator>Government of Alberta</dc:creator>
  <cp:revision>5</cp:revision>
  <cp:lastPrinted>2017-08-28T01:14:00Z</cp:lastPrinted>
  <dcterms:created xsi:type="dcterms:W3CDTF">2020-12-03T20:45:00Z</dcterms:created>
  <dcterms:modified xsi:type="dcterms:W3CDTF">2021-01-04T20:37:00Z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2021-01-04T20:37:27Z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9dc403c4-dded-48ef-bee0-0000ef0abfc3</vt:lpwstr>
  </property>
  <property fmtid="{D5CDD505-2E9C-101B-9397-08002B2CF9AE}" pid="8" name="MSIP_Label_60c3ebf9-3c2f-4745-a75f-55836bdb736f_ContentBits">
    <vt:lpwstr>2</vt:lpwstr>
  </property>
</Properties>
</file>