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C4" w:rsidRPr="00026F9C" w:rsidRDefault="000735C4" w:rsidP="000735C4">
      <w:pPr>
        <w:jc w:val="center"/>
        <w:rPr>
          <w:rFonts w:ascii="Arial Narrow" w:hAnsi="Arial Narrow" w:cs="Arial"/>
          <w:b/>
        </w:rPr>
      </w:pPr>
      <w:r w:rsidRPr="00026F9C">
        <w:rPr>
          <w:rFonts w:ascii="Arial Narrow" w:hAnsi="Arial Narrow" w:cs="Arial"/>
          <w:b/>
        </w:rPr>
        <w:t>[Name</w:t>
      </w:r>
      <w:r>
        <w:rPr>
          <w:rFonts w:ascii="Arial Narrow" w:hAnsi="Arial Narrow" w:cs="Arial"/>
          <w:b/>
        </w:rPr>
        <w:t xml:space="preserve"> of Municipality</w:t>
      </w:r>
      <w:r w:rsidRPr="00026F9C">
        <w:rPr>
          <w:rFonts w:ascii="Arial Narrow" w:hAnsi="Arial Narrow" w:cs="Arial"/>
          <w:b/>
        </w:rPr>
        <w:t>]Library Board</w:t>
      </w:r>
    </w:p>
    <w:p w:rsidR="000735C4" w:rsidRDefault="000735C4" w:rsidP="000735C4">
      <w:pPr>
        <w:jc w:val="center"/>
        <w:rPr>
          <w:rFonts w:ascii="Arial Narrow" w:hAnsi="Arial Narrow" w:cs="Arial"/>
          <w:b/>
        </w:rPr>
      </w:pPr>
      <w:bookmarkStart w:id="0" w:name="_GoBack"/>
      <w:r>
        <w:rPr>
          <w:rFonts w:ascii="Arial Narrow" w:hAnsi="Arial Narrow" w:cs="Arial"/>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5095875</wp:posOffset>
                </wp:positionH>
                <wp:positionV relativeFrom="paragraph">
                  <wp:posOffset>-394970</wp:posOffset>
                </wp:positionV>
                <wp:extent cx="96202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5C4" w:rsidRPr="0063699E" w:rsidRDefault="000735C4" w:rsidP="000735C4">
                            <w:pPr>
                              <w:jc w:val="center"/>
                              <w:rPr>
                                <w:rFonts w:ascii="Arial Rounded MT Bold" w:hAnsi="Arial Rounded MT Bold"/>
                                <w:color w:val="808080"/>
                                <w:sz w:val="28"/>
                                <w:szCs w:val="28"/>
                              </w:rPr>
                            </w:pPr>
                            <w:r w:rsidRPr="0063699E">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1.25pt;margin-top:-31.1pt;width:7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" fillcolor="#d8d8d8" stroked="f">
                <v:textbox>
                  <w:txbxContent>
                    <w:p w:rsidR="000735C4" w:rsidRPr="0063699E" w:rsidRDefault="000735C4" w:rsidP="000735C4">
                      <w:pPr>
                        <w:jc w:val="center"/>
                        <w:rPr>
                          <w:rFonts w:ascii="Arial Rounded MT Bold" w:hAnsi="Arial Rounded MT Bold"/>
                          <w:color w:val="808080"/>
                          <w:sz w:val="28"/>
                          <w:szCs w:val="28"/>
                        </w:rPr>
                      </w:pPr>
                      <w:r w:rsidRPr="0063699E">
                        <w:rPr>
                          <w:rFonts w:ascii="Arial Rounded MT Bold" w:hAnsi="Arial Rounded MT Bold"/>
                          <w:color w:val="808080"/>
                          <w:sz w:val="28"/>
                          <w:szCs w:val="28"/>
                        </w:rPr>
                        <w:t>SAMPLE</w:t>
                      </w:r>
                    </w:p>
                  </w:txbxContent>
                </v:textbox>
              </v:shape>
            </w:pict>
          </mc:Fallback>
        </mc:AlternateContent>
      </w:r>
      <w:r>
        <w:rPr>
          <w:rFonts w:ascii="Arial Narrow" w:hAnsi="Arial Narrow" w:cs="Arial"/>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4819650</wp:posOffset>
                </wp:positionH>
                <wp:positionV relativeFrom="paragraph">
                  <wp:posOffset>7739380</wp:posOffset>
                </wp:positionV>
                <wp:extent cx="128587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5C4" w:rsidRPr="00D14C49" w:rsidRDefault="000735C4" w:rsidP="000735C4">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79.5pt;margin-top:609.4pt;width:10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" fillcolor="#d8d8d8" stroked="f">
                <v:textbox>
                  <w:txbxContent>
                    <w:p w:rsidR="000735C4" w:rsidRPr="00D14C49" w:rsidRDefault="000735C4" w:rsidP="000735C4">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v:textbox>
              </v:shape>
            </w:pict>
          </mc:Fallback>
        </mc:AlternateContent>
      </w:r>
      <w:r w:rsidRPr="00026F9C">
        <w:rPr>
          <w:rFonts w:ascii="Arial Narrow" w:hAnsi="Arial Narrow" w:cs="Arial"/>
          <w:b/>
        </w:rPr>
        <w:t>Resource Sharing Policy</w:t>
      </w:r>
      <w:bookmarkEnd w:id="0"/>
    </w:p>
    <w:p w:rsidR="000735C4" w:rsidRPr="00026F9C" w:rsidRDefault="000735C4" w:rsidP="000735C4">
      <w:pPr>
        <w:jc w:val="center"/>
        <w:rPr>
          <w:rFonts w:ascii="Arial Narrow" w:hAnsi="Arial Narrow" w:cs="Arial"/>
          <w:b/>
        </w:rPr>
      </w:pPr>
    </w:p>
    <w:p w:rsidR="000735C4" w:rsidRPr="00026F9C" w:rsidRDefault="000735C4" w:rsidP="000735C4">
      <w:pPr>
        <w:pStyle w:val="ListParagraph"/>
        <w:numPr>
          <w:ilvl w:val="0"/>
          <w:numId w:val="1"/>
        </w:numPr>
        <w:contextualSpacing w:val="0"/>
        <w:rPr>
          <w:rFonts w:ascii="Arial Narrow" w:hAnsi="Arial Narrow" w:cs="Arial"/>
        </w:rPr>
      </w:pPr>
      <w:r w:rsidRPr="00026F9C">
        <w:rPr>
          <w:rFonts w:ascii="Arial Narrow" w:hAnsi="Arial Narrow" w:cs="Arial"/>
        </w:rPr>
        <w:t>The [name</w:t>
      </w:r>
      <w:r>
        <w:rPr>
          <w:rFonts w:ascii="Arial Narrow" w:hAnsi="Arial Narrow" w:cs="Arial"/>
        </w:rPr>
        <w:t xml:space="preserve"> of municipality</w:t>
      </w:r>
      <w:r w:rsidRPr="00026F9C">
        <w:rPr>
          <w:rFonts w:ascii="Arial Narrow" w:hAnsi="Arial Narrow" w:cs="Arial"/>
        </w:rPr>
        <w:t>]</w:t>
      </w:r>
      <w:r>
        <w:rPr>
          <w:rFonts w:ascii="Arial Narrow" w:hAnsi="Arial Narrow" w:cs="Arial"/>
        </w:rPr>
        <w:t xml:space="preserve"> </w:t>
      </w:r>
      <w:r w:rsidRPr="00026F9C">
        <w:rPr>
          <w:rFonts w:ascii="Arial Narrow" w:hAnsi="Arial Narrow" w:cs="Arial"/>
        </w:rPr>
        <w:t xml:space="preserve">Library Board participates in the Provincial Public Library Network.  </w:t>
      </w:r>
    </w:p>
    <w:p w:rsidR="000735C4" w:rsidRPr="00026F9C" w:rsidRDefault="000735C4" w:rsidP="000735C4">
      <w:pPr>
        <w:pStyle w:val="ListParagraph"/>
        <w:numPr>
          <w:ilvl w:val="0"/>
          <w:numId w:val="1"/>
        </w:numPr>
        <w:contextualSpacing w:val="0"/>
        <w:rPr>
          <w:rFonts w:ascii="Arial Narrow" w:hAnsi="Arial Narrow" w:cs="Arial"/>
        </w:rPr>
      </w:pPr>
      <w:r w:rsidRPr="00026F9C">
        <w:rPr>
          <w:rFonts w:ascii="Arial Narrow" w:hAnsi="Arial Narrow" w:cs="Arial"/>
        </w:rPr>
        <w:t xml:space="preserve">The Board also participates in The Alberta Library (TAL) by virtue of membership in the [name] Library System. </w:t>
      </w:r>
    </w:p>
    <w:p w:rsidR="000735C4" w:rsidRPr="00026F9C" w:rsidRDefault="000735C4" w:rsidP="000735C4">
      <w:pPr>
        <w:pStyle w:val="ListParagraph"/>
        <w:numPr>
          <w:ilvl w:val="0"/>
          <w:numId w:val="1"/>
        </w:numPr>
        <w:contextualSpacing w:val="0"/>
        <w:rPr>
          <w:rFonts w:ascii="Arial Narrow" w:hAnsi="Arial Narrow" w:cs="Arial"/>
        </w:rPr>
      </w:pPr>
      <w:r w:rsidRPr="00026F9C">
        <w:rPr>
          <w:rFonts w:ascii="Arial Narrow" w:hAnsi="Arial Narrow" w:cs="Arial"/>
        </w:rPr>
        <w:t xml:space="preserve">The Board shall actively participate in resource-sharing programs and services, including but not limited to the provincial interlibrary loan program, ME Libraries, and the TAL Card program. </w:t>
      </w:r>
    </w:p>
    <w:p w:rsidR="000735C4" w:rsidRPr="00026F9C" w:rsidRDefault="000735C4" w:rsidP="000735C4">
      <w:pPr>
        <w:pStyle w:val="ListParagraph"/>
        <w:numPr>
          <w:ilvl w:val="0"/>
          <w:numId w:val="1"/>
        </w:numPr>
        <w:contextualSpacing w:val="0"/>
        <w:rPr>
          <w:rFonts w:ascii="Arial Narrow" w:hAnsi="Arial Narrow" w:cs="Arial"/>
        </w:rPr>
      </w:pPr>
      <w:r w:rsidRPr="00026F9C">
        <w:rPr>
          <w:rFonts w:ascii="Arial Narrow" w:hAnsi="Arial Narrow" w:cs="Arial"/>
        </w:rPr>
        <w:t xml:space="preserve">The board will not charge another public library for the interlibrary loan service. </w:t>
      </w:r>
    </w:p>
    <w:p w:rsidR="000735C4" w:rsidRPr="00026F9C" w:rsidRDefault="000735C4" w:rsidP="000735C4">
      <w:pPr>
        <w:pStyle w:val="ListParagraph"/>
        <w:numPr>
          <w:ilvl w:val="0"/>
          <w:numId w:val="1"/>
        </w:numPr>
        <w:contextualSpacing w:val="0"/>
        <w:rPr>
          <w:rFonts w:ascii="Arial Narrow" w:hAnsi="Arial Narrow" w:cs="Arial"/>
        </w:rPr>
      </w:pPr>
      <w:r w:rsidRPr="00026F9C">
        <w:rPr>
          <w:rFonts w:ascii="Arial Narrow" w:hAnsi="Arial Narrow" w:cs="Arial"/>
        </w:rPr>
        <w:t xml:space="preserve">The board publicizes the interlibrary loan, TAL card, and ME Library services to its patrons through newspaper articles, posters and brochures, presentations to groups and organizations, and displays within the community. </w:t>
      </w:r>
    </w:p>
    <w:p w:rsidR="000735C4" w:rsidRPr="00026F9C" w:rsidRDefault="000735C4" w:rsidP="000735C4">
      <w:pPr>
        <w:pStyle w:val="ListParagraph"/>
        <w:numPr>
          <w:ilvl w:val="0"/>
          <w:numId w:val="1"/>
        </w:numPr>
        <w:contextualSpacing w:val="0"/>
        <w:rPr>
          <w:rFonts w:ascii="Arial Narrow" w:hAnsi="Arial Narrow" w:cs="Arial"/>
        </w:rPr>
      </w:pPr>
      <w:r w:rsidRPr="00026F9C">
        <w:rPr>
          <w:rFonts w:ascii="Arial Narrow" w:hAnsi="Arial Narrow" w:cs="Arial"/>
        </w:rPr>
        <w:t>Training of staff in resource sharing is the responsibility of the Board and Library Management, in partnership with the [name] Library System, and Public Library Services Branch.  Training shall be carried out through a combination of one-on-one training, on-site visits, online training, workshops, procedure manuals, and conferences as per the board’s continuing education policy and procedures.</w:t>
      </w:r>
    </w:p>
    <w:p w:rsidR="00C34B5E" w:rsidRPr="000735C4" w:rsidRDefault="00C34B5E" w:rsidP="000735C4"/>
    <w:sectPr w:rsidR="00C34B5E" w:rsidRPr="00073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C74A4"/>
    <w:multiLevelType w:val="hybridMultilevel"/>
    <w:tmpl w:val="05EC69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E6"/>
    <w:rsid w:val="000735C4"/>
    <w:rsid w:val="004952E6"/>
    <w:rsid w:val="00812E3A"/>
    <w:rsid w:val="00A226E5"/>
    <w:rsid w:val="00C34B5E"/>
    <w:rsid w:val="00C649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D7DB5-DF9D-438D-9045-B677868A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C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Sample Resource Sharing Policy</vt:lpstr>
    </vt:vector>
  </TitlesOfParts>
  <Company>GOA</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Resource Sharing Policy</dc:title>
  <dc:subject>Public library board policies</dc:subject>
  <dc:creator>Government of Alberta</dc:creator>
  <cp:keywords>Sample Resource Sharing Policy</cp:keywords>
  <cp:lastModifiedBy>Jennifer Lau</cp:lastModifiedBy>
  <cp:revision>3</cp:revision>
  <dcterms:created xsi:type="dcterms:W3CDTF">2018-01-29T16:23:00Z</dcterms:created>
  <dcterms:modified xsi:type="dcterms:W3CDTF">2019-09-19T15:44:00Z</dcterms:modified>
</cp:coreProperties>
</file>