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5D9" w:rsidRPr="00F44F1F" w:rsidRDefault="00A765D9" w:rsidP="00A765D9">
      <w:pPr>
        <w:jc w:val="center"/>
        <w:rPr>
          <w:rFonts w:ascii="Arial Narrow" w:hAnsi="Arial Narrow" w:cs="Arial"/>
          <w:b/>
        </w:rPr>
      </w:pPr>
      <w:r w:rsidRPr="00F44F1F">
        <w:rPr>
          <w:rFonts w:ascii="Arial Narrow" w:hAnsi="Arial Narrow" w:cs="Arial"/>
          <w:b/>
        </w:rPr>
        <w:t>[Name of Municipality] Library Board</w:t>
      </w:r>
    </w:p>
    <w:p w:rsidR="00A765D9" w:rsidRPr="00F44F1F" w:rsidRDefault="00A765D9" w:rsidP="00A765D9">
      <w:pPr>
        <w:jc w:val="center"/>
        <w:rPr>
          <w:rFonts w:ascii="Arial Narrow" w:hAnsi="Arial Narrow" w:cs="Arial"/>
          <w:b/>
        </w:rPr>
      </w:pPr>
      <w:bookmarkStart w:id="0" w:name="_GoBack"/>
      <w:r>
        <w:rPr>
          <w:rFonts w:ascii="Arial Narrow" w:hAnsi="Arial Narrow" w:cs="Arial"/>
          <w:noProof/>
          <w:lang w:val="en-CA" w:eastAsia="en-CA"/>
        </w:rPr>
        <mc:AlternateContent>
          <mc:Choice Requires="wps">
            <w:drawing>
              <wp:anchor distT="0" distB="0" distL="114300" distR="114300" simplePos="0" relativeHeight="251660288" behindDoc="0" locked="0" layoutInCell="1" allowOverlap="1">
                <wp:simplePos x="0" y="0"/>
                <wp:positionH relativeFrom="column">
                  <wp:posOffset>5086350</wp:posOffset>
                </wp:positionH>
                <wp:positionV relativeFrom="paragraph">
                  <wp:posOffset>-394970</wp:posOffset>
                </wp:positionV>
                <wp:extent cx="962025" cy="342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429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65D9" w:rsidRPr="00D14C49" w:rsidRDefault="00A765D9" w:rsidP="00A765D9">
                            <w:pPr>
                              <w:jc w:val="center"/>
                              <w:rPr>
                                <w:rFonts w:ascii="Arial Rounded MT Bold" w:hAnsi="Arial Rounded MT Bold"/>
                                <w:color w:val="808080"/>
                                <w:sz w:val="28"/>
                                <w:szCs w:val="28"/>
                              </w:rPr>
                            </w:pPr>
                            <w:r w:rsidRPr="00D14C49">
                              <w:rPr>
                                <w:rFonts w:ascii="Arial Rounded MT Bold" w:hAnsi="Arial Rounded MT Bold"/>
                                <w:color w:val="808080"/>
                                <w:sz w:val="28"/>
                                <w:szCs w:val="28"/>
                              </w:rPr>
                              <w:t>SAMPLE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400.5pt;margin-top:-31.1pt;width:75.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" fillcolor="#d8d8d8" stroked="f">
                <v:textbox>
                  <w:txbxContent>
                    <w:p w:rsidR="00A765D9" w:rsidRPr="00D14C49" w:rsidRDefault="00A765D9" w:rsidP="00A765D9">
                      <w:pPr>
                        <w:jc w:val="center"/>
                        <w:rPr>
                          <w:rFonts w:ascii="Arial Rounded MT Bold" w:hAnsi="Arial Rounded MT Bold"/>
                          <w:color w:val="808080"/>
                          <w:sz w:val="28"/>
                          <w:szCs w:val="28"/>
                        </w:rPr>
                      </w:pPr>
                      <w:r w:rsidRPr="00D14C49">
                        <w:rPr>
                          <w:rFonts w:ascii="Arial Rounded MT Bold" w:hAnsi="Arial Rounded MT Bold"/>
                          <w:color w:val="808080"/>
                          <w:sz w:val="28"/>
                          <w:szCs w:val="28"/>
                        </w:rPr>
                        <w:t>SAMPLE</w:t>
                      </w:r>
                    </w:p>
                  </w:txbxContent>
                </v:textbox>
              </v:shape>
            </w:pict>
          </mc:Fallback>
        </mc:AlternateContent>
      </w:r>
      <w:r w:rsidRPr="00F44F1F">
        <w:rPr>
          <w:rFonts w:ascii="Arial Narrow" w:hAnsi="Arial Narrow" w:cs="Arial"/>
          <w:b/>
        </w:rPr>
        <w:t>Orientation and Continuing Education for Board Policy</w:t>
      </w:r>
      <w:bookmarkEnd w:id="0"/>
    </w:p>
    <w:p w:rsidR="00A765D9" w:rsidRPr="00F44F1F" w:rsidRDefault="00A765D9" w:rsidP="00A765D9">
      <w:pPr>
        <w:rPr>
          <w:rFonts w:ascii="Arial Narrow" w:hAnsi="Arial Narrow" w:cs="Arial"/>
          <w:b/>
        </w:rPr>
      </w:pPr>
      <w:r w:rsidRPr="00F44F1F">
        <w:rPr>
          <w:rFonts w:ascii="Arial Narrow" w:hAnsi="Arial Narrow" w:cs="Arial"/>
          <w:b/>
        </w:rPr>
        <w:t>New Board Member Package</w:t>
      </w:r>
    </w:p>
    <w:p w:rsidR="00A765D9" w:rsidRPr="00F44F1F" w:rsidRDefault="00A765D9" w:rsidP="00A765D9">
      <w:pPr>
        <w:pStyle w:val="ListParagraph"/>
        <w:numPr>
          <w:ilvl w:val="0"/>
          <w:numId w:val="4"/>
        </w:numPr>
        <w:contextualSpacing w:val="0"/>
        <w:rPr>
          <w:rFonts w:ascii="Arial Narrow" w:hAnsi="Arial Narrow" w:cs="Arial"/>
        </w:rPr>
      </w:pPr>
      <w:r w:rsidRPr="00F44F1F">
        <w:rPr>
          <w:rFonts w:ascii="Arial Narrow" w:hAnsi="Arial Narrow" w:cs="Arial"/>
        </w:rPr>
        <w:t xml:space="preserve">The Board recognizes the need for orientation of new Board members and the need to acquire skills and knowledge relating to their roles as Board Trustees. The Board is prepared to provide resources and materials for orientation of new Trustees. </w:t>
      </w:r>
    </w:p>
    <w:p w:rsidR="00A765D9" w:rsidRPr="00F44F1F" w:rsidRDefault="00A765D9" w:rsidP="00A765D9">
      <w:pPr>
        <w:pStyle w:val="ListParagraph"/>
        <w:numPr>
          <w:ilvl w:val="0"/>
          <w:numId w:val="4"/>
        </w:numPr>
        <w:contextualSpacing w:val="0"/>
        <w:rPr>
          <w:rFonts w:ascii="Arial Narrow" w:hAnsi="Arial Narrow" w:cs="Arial"/>
        </w:rPr>
      </w:pPr>
      <w:r w:rsidRPr="00F44F1F">
        <w:rPr>
          <w:rFonts w:ascii="Arial Narrow" w:hAnsi="Arial Narrow" w:cs="Arial"/>
        </w:rPr>
        <w:t xml:space="preserve">The Board will provide an orientation package to each new Trustee.  This package shall consist of: </w:t>
      </w:r>
    </w:p>
    <w:p w:rsidR="00A765D9" w:rsidRPr="00F44F1F" w:rsidRDefault="00A765D9" w:rsidP="00A765D9">
      <w:pPr>
        <w:pStyle w:val="ListParagraph"/>
        <w:numPr>
          <w:ilvl w:val="0"/>
          <w:numId w:val="1"/>
        </w:numPr>
        <w:rPr>
          <w:rFonts w:ascii="Arial Narrow" w:hAnsi="Arial Narrow" w:cs="Arial"/>
        </w:rPr>
      </w:pPr>
      <w:r w:rsidRPr="00F44F1F">
        <w:rPr>
          <w:rFonts w:ascii="Arial Narrow" w:hAnsi="Arial Narrow" w:cs="Arial"/>
        </w:rPr>
        <w:t xml:space="preserve">The library board’s bylaws and policy manual </w:t>
      </w:r>
    </w:p>
    <w:p w:rsidR="00A765D9" w:rsidRPr="00F44F1F" w:rsidRDefault="00A765D9" w:rsidP="00A765D9">
      <w:pPr>
        <w:pStyle w:val="ListParagraph"/>
        <w:numPr>
          <w:ilvl w:val="0"/>
          <w:numId w:val="1"/>
        </w:numPr>
        <w:rPr>
          <w:rFonts w:ascii="Arial Narrow" w:hAnsi="Arial Narrow" w:cs="Arial"/>
        </w:rPr>
      </w:pPr>
      <w:r w:rsidRPr="00F44F1F">
        <w:rPr>
          <w:rFonts w:ascii="Arial Narrow" w:hAnsi="Arial Narrow" w:cs="Arial"/>
        </w:rPr>
        <w:t>Municipal bylaw establishing the library board</w:t>
      </w:r>
    </w:p>
    <w:p w:rsidR="00A765D9" w:rsidRPr="00F44F1F" w:rsidRDefault="00A765D9" w:rsidP="00A765D9">
      <w:pPr>
        <w:pStyle w:val="ListParagraph"/>
        <w:numPr>
          <w:ilvl w:val="0"/>
          <w:numId w:val="1"/>
        </w:numPr>
        <w:rPr>
          <w:rFonts w:ascii="Arial Narrow" w:hAnsi="Arial Narrow" w:cs="Arial"/>
        </w:rPr>
      </w:pPr>
      <w:r w:rsidRPr="00F44F1F">
        <w:rPr>
          <w:rFonts w:ascii="Arial Narrow" w:hAnsi="Arial Narrow" w:cs="Arial"/>
        </w:rPr>
        <w:t>The library board’s rules of order for board meetings</w:t>
      </w:r>
    </w:p>
    <w:p w:rsidR="00A765D9" w:rsidRPr="00F44F1F" w:rsidRDefault="00A765D9" w:rsidP="00A765D9">
      <w:pPr>
        <w:pStyle w:val="ListParagraph"/>
        <w:numPr>
          <w:ilvl w:val="0"/>
          <w:numId w:val="1"/>
        </w:numPr>
        <w:rPr>
          <w:rFonts w:ascii="Arial Narrow" w:hAnsi="Arial Narrow" w:cs="Arial"/>
        </w:rPr>
      </w:pPr>
      <w:r w:rsidRPr="00F44F1F">
        <w:rPr>
          <w:rFonts w:ascii="Arial Narrow" w:hAnsi="Arial Narrow" w:cs="Arial"/>
        </w:rPr>
        <w:t xml:space="preserve">Information about the legal and ethical responsibilities of board trustees, including the responsibility to “speak with one voice” and maintain confidentiality </w:t>
      </w:r>
    </w:p>
    <w:p w:rsidR="00A765D9" w:rsidRPr="00F44F1F" w:rsidRDefault="00A765D9" w:rsidP="00A765D9">
      <w:pPr>
        <w:pStyle w:val="ListParagraph"/>
        <w:numPr>
          <w:ilvl w:val="0"/>
          <w:numId w:val="1"/>
        </w:numPr>
        <w:rPr>
          <w:rFonts w:ascii="Arial Narrow" w:hAnsi="Arial Narrow" w:cs="Arial"/>
        </w:rPr>
      </w:pPr>
      <w:r w:rsidRPr="00F44F1F">
        <w:rPr>
          <w:rFonts w:ascii="Arial Narrow" w:hAnsi="Arial Narrow" w:cs="Arial"/>
        </w:rPr>
        <w:t>Financial statements and budget</w:t>
      </w:r>
    </w:p>
    <w:p w:rsidR="00A765D9" w:rsidRPr="00F44F1F" w:rsidRDefault="00A765D9" w:rsidP="00A765D9">
      <w:pPr>
        <w:pStyle w:val="ListParagraph"/>
        <w:numPr>
          <w:ilvl w:val="0"/>
          <w:numId w:val="1"/>
        </w:numPr>
        <w:rPr>
          <w:rFonts w:ascii="Arial Narrow" w:hAnsi="Arial Narrow" w:cs="Arial"/>
        </w:rPr>
      </w:pPr>
      <w:r w:rsidRPr="00F44F1F">
        <w:rPr>
          <w:rFonts w:ascii="Arial Narrow" w:hAnsi="Arial Narrow" w:cs="Arial"/>
        </w:rPr>
        <w:t>Annual report</w:t>
      </w:r>
    </w:p>
    <w:p w:rsidR="00A765D9" w:rsidRPr="00F44F1F" w:rsidRDefault="00A765D9" w:rsidP="00A765D9">
      <w:pPr>
        <w:pStyle w:val="ListParagraph"/>
        <w:numPr>
          <w:ilvl w:val="0"/>
          <w:numId w:val="1"/>
        </w:numPr>
        <w:rPr>
          <w:rFonts w:ascii="Arial Narrow" w:hAnsi="Arial Narrow" w:cs="Arial"/>
        </w:rPr>
      </w:pPr>
      <w:r w:rsidRPr="00F44F1F">
        <w:rPr>
          <w:rFonts w:ascii="Arial Narrow" w:hAnsi="Arial Narrow" w:cs="Arial"/>
        </w:rPr>
        <w:t>Sources of Library funding, including information about the fiduciary responsibilities of library boards</w:t>
      </w:r>
    </w:p>
    <w:p w:rsidR="00A765D9" w:rsidRPr="00F44F1F" w:rsidRDefault="00A765D9" w:rsidP="00A765D9">
      <w:pPr>
        <w:pStyle w:val="ListParagraph"/>
        <w:numPr>
          <w:ilvl w:val="0"/>
          <w:numId w:val="1"/>
        </w:numPr>
        <w:rPr>
          <w:rFonts w:ascii="Arial Narrow" w:hAnsi="Arial Narrow" w:cs="Arial"/>
        </w:rPr>
      </w:pPr>
      <w:r w:rsidRPr="00F44F1F">
        <w:rPr>
          <w:rFonts w:ascii="Arial Narrow" w:hAnsi="Arial Narrow" w:cs="Arial"/>
        </w:rPr>
        <w:t>Alberta Libraries Act and Regulations</w:t>
      </w:r>
    </w:p>
    <w:p w:rsidR="00A765D9" w:rsidRPr="00F44F1F" w:rsidRDefault="00A765D9" w:rsidP="00A765D9">
      <w:pPr>
        <w:pStyle w:val="ListParagraph"/>
        <w:numPr>
          <w:ilvl w:val="0"/>
          <w:numId w:val="1"/>
        </w:numPr>
        <w:rPr>
          <w:rFonts w:ascii="Arial Narrow" w:hAnsi="Arial Narrow" w:cs="Arial"/>
        </w:rPr>
      </w:pPr>
      <w:r w:rsidRPr="00F44F1F">
        <w:rPr>
          <w:rFonts w:ascii="Arial Narrow" w:hAnsi="Arial Narrow" w:cs="Arial"/>
        </w:rPr>
        <w:t>Introduction to the local library system and the services it provides</w:t>
      </w:r>
    </w:p>
    <w:p w:rsidR="00A765D9" w:rsidRPr="00F44F1F" w:rsidRDefault="00A765D9" w:rsidP="00A765D9">
      <w:pPr>
        <w:pStyle w:val="ListParagraph"/>
        <w:numPr>
          <w:ilvl w:val="0"/>
          <w:numId w:val="1"/>
        </w:numPr>
        <w:rPr>
          <w:rFonts w:ascii="Arial Narrow" w:hAnsi="Arial Narrow" w:cs="Arial"/>
        </w:rPr>
      </w:pPr>
      <w:r w:rsidRPr="00F44F1F">
        <w:rPr>
          <w:rFonts w:ascii="Arial Narrow" w:hAnsi="Arial Narrow" w:cs="Arial"/>
        </w:rPr>
        <w:t xml:space="preserve">Introduction to the Provincial library network and the services it provides </w:t>
      </w:r>
    </w:p>
    <w:p w:rsidR="00A765D9" w:rsidRPr="00F44F1F" w:rsidRDefault="00A765D9" w:rsidP="00A765D9">
      <w:pPr>
        <w:pStyle w:val="ListParagraph"/>
        <w:numPr>
          <w:ilvl w:val="0"/>
          <w:numId w:val="1"/>
        </w:numPr>
        <w:rPr>
          <w:rFonts w:ascii="Arial Narrow" w:hAnsi="Arial Narrow" w:cs="Arial"/>
        </w:rPr>
      </w:pPr>
      <w:r w:rsidRPr="00F44F1F">
        <w:rPr>
          <w:rFonts w:ascii="Arial Narrow" w:hAnsi="Arial Narrow" w:cs="Arial"/>
        </w:rPr>
        <w:t>Library’s current plan of service</w:t>
      </w:r>
    </w:p>
    <w:p w:rsidR="00A765D9" w:rsidRPr="00F44F1F" w:rsidRDefault="00A765D9" w:rsidP="00A765D9">
      <w:pPr>
        <w:pStyle w:val="ListParagraph"/>
        <w:numPr>
          <w:ilvl w:val="0"/>
          <w:numId w:val="1"/>
        </w:numPr>
        <w:rPr>
          <w:rFonts w:ascii="Arial Narrow" w:hAnsi="Arial Narrow" w:cs="Arial"/>
        </w:rPr>
      </w:pPr>
      <w:r w:rsidRPr="00F44F1F">
        <w:rPr>
          <w:rFonts w:ascii="Arial Narrow" w:hAnsi="Arial Narrow" w:cs="Arial"/>
        </w:rPr>
        <w:t xml:space="preserve">Map of area served by Library </w:t>
      </w:r>
    </w:p>
    <w:p w:rsidR="00A765D9" w:rsidRPr="00F44F1F" w:rsidRDefault="00A765D9" w:rsidP="00A765D9">
      <w:pPr>
        <w:pStyle w:val="ListParagraph"/>
        <w:numPr>
          <w:ilvl w:val="0"/>
          <w:numId w:val="1"/>
        </w:numPr>
        <w:rPr>
          <w:rFonts w:ascii="Arial Narrow" w:hAnsi="Arial Narrow" w:cs="Arial"/>
        </w:rPr>
      </w:pPr>
      <w:r w:rsidRPr="00F44F1F">
        <w:rPr>
          <w:rFonts w:ascii="Arial Narrow" w:hAnsi="Arial Narrow" w:cs="Arial"/>
        </w:rPr>
        <w:t xml:space="preserve">List of Trustees and committees </w:t>
      </w:r>
    </w:p>
    <w:p w:rsidR="00A765D9" w:rsidRPr="00F44F1F" w:rsidRDefault="00A765D9" w:rsidP="00A765D9">
      <w:pPr>
        <w:pStyle w:val="ListParagraph"/>
        <w:numPr>
          <w:ilvl w:val="0"/>
          <w:numId w:val="1"/>
        </w:numPr>
        <w:rPr>
          <w:rFonts w:ascii="Arial Narrow" w:hAnsi="Arial Narrow" w:cs="Arial"/>
        </w:rPr>
      </w:pPr>
      <w:r w:rsidRPr="00F44F1F">
        <w:rPr>
          <w:rFonts w:ascii="Arial Narrow" w:hAnsi="Arial Narrow" w:cs="Arial"/>
        </w:rPr>
        <w:t>Names and positions of staff, including an organizational chart</w:t>
      </w:r>
    </w:p>
    <w:p w:rsidR="00A765D9" w:rsidRPr="00F44F1F" w:rsidRDefault="00A765D9" w:rsidP="00A765D9">
      <w:pPr>
        <w:pStyle w:val="ListParagraph"/>
        <w:numPr>
          <w:ilvl w:val="0"/>
          <w:numId w:val="1"/>
        </w:numPr>
        <w:rPr>
          <w:rFonts w:ascii="Arial Narrow" w:hAnsi="Arial Narrow" w:cs="Arial"/>
        </w:rPr>
      </w:pPr>
      <w:r w:rsidRPr="00F44F1F">
        <w:rPr>
          <w:rFonts w:ascii="Arial Narrow" w:hAnsi="Arial Narrow" w:cs="Arial"/>
        </w:rPr>
        <w:t>Information about the relationship between the library board and staff, especially between the library board and the library manager</w:t>
      </w:r>
    </w:p>
    <w:p w:rsidR="00A765D9" w:rsidRPr="00F44F1F" w:rsidRDefault="00A765D9" w:rsidP="00A765D9">
      <w:pPr>
        <w:pStyle w:val="ListParagraph"/>
        <w:numPr>
          <w:ilvl w:val="0"/>
          <w:numId w:val="1"/>
        </w:numPr>
        <w:contextualSpacing w:val="0"/>
        <w:rPr>
          <w:rFonts w:ascii="Arial Narrow" w:hAnsi="Arial Narrow" w:cs="Arial"/>
        </w:rPr>
      </w:pPr>
      <w:r w:rsidRPr="00F44F1F">
        <w:rPr>
          <w:rFonts w:ascii="Arial Narrow" w:hAnsi="Arial Narrow" w:cs="Arial"/>
        </w:rPr>
        <w:t>Trustee job description</w:t>
      </w:r>
    </w:p>
    <w:p w:rsidR="00A765D9" w:rsidRPr="00F44F1F" w:rsidRDefault="00A765D9" w:rsidP="00A765D9">
      <w:pPr>
        <w:pStyle w:val="ListParagraph"/>
        <w:numPr>
          <w:ilvl w:val="0"/>
          <w:numId w:val="4"/>
        </w:numPr>
        <w:contextualSpacing w:val="0"/>
        <w:rPr>
          <w:rFonts w:ascii="Arial Narrow" w:hAnsi="Arial Narrow" w:cs="Arial"/>
        </w:rPr>
      </w:pPr>
      <w:r w:rsidRPr="00F44F1F">
        <w:rPr>
          <w:rFonts w:ascii="Arial Narrow" w:hAnsi="Arial Narrow" w:cs="Arial"/>
        </w:rPr>
        <w:t>A Trustee’s orientation package will be distributed to each new Board member at their first Board meeting or shortly thereafter. The Board Secretary and members of the Board delegated by the Secretary shall be responsible for the orientation package</w:t>
      </w:r>
      <w:r>
        <w:rPr>
          <w:rFonts w:ascii="Arial Narrow" w:hAnsi="Arial Narrow" w:cs="Arial"/>
        </w:rPr>
        <w:t xml:space="preserve"> preparation and</w:t>
      </w:r>
      <w:r w:rsidRPr="00F44F1F">
        <w:rPr>
          <w:rFonts w:ascii="Arial Narrow" w:hAnsi="Arial Narrow" w:cs="Arial"/>
        </w:rPr>
        <w:t xml:space="preserve"> distribution. </w:t>
      </w:r>
    </w:p>
    <w:p w:rsidR="00A765D9" w:rsidRPr="00F44F1F" w:rsidRDefault="00A765D9" w:rsidP="00A765D9">
      <w:pPr>
        <w:pStyle w:val="ListParagraph"/>
        <w:numPr>
          <w:ilvl w:val="0"/>
          <w:numId w:val="4"/>
        </w:numPr>
        <w:contextualSpacing w:val="0"/>
        <w:rPr>
          <w:rFonts w:ascii="Arial Narrow" w:hAnsi="Arial Narrow" w:cs="Arial"/>
        </w:rPr>
      </w:pPr>
      <w:r>
        <w:rPr>
          <w:rFonts w:ascii="Arial Narrow" w:hAnsi="Arial Narrow" w:cs="Arial"/>
        </w:rPr>
        <w:t>The Trustee should keep his or her orientation manual for ongoing reference.  The Secretary will distribute updates to the manual when required.  The Trustee should return the manual to the Secretary when the Trustee leaves the board.</w:t>
      </w:r>
    </w:p>
    <w:p w:rsidR="00A765D9" w:rsidRPr="00F44F1F" w:rsidRDefault="00A765D9" w:rsidP="00A765D9">
      <w:pPr>
        <w:rPr>
          <w:rFonts w:ascii="Arial Narrow" w:hAnsi="Arial Narrow" w:cs="Arial"/>
          <w:b/>
        </w:rPr>
      </w:pPr>
      <w:r w:rsidRPr="00F44F1F">
        <w:rPr>
          <w:rFonts w:ascii="Arial Narrow" w:hAnsi="Arial Narrow" w:cs="Arial"/>
          <w:b/>
        </w:rPr>
        <w:t xml:space="preserve">Orientation of Board Members </w:t>
      </w:r>
    </w:p>
    <w:p w:rsidR="00A765D9" w:rsidRPr="00F44F1F" w:rsidRDefault="00A765D9" w:rsidP="00A765D9">
      <w:pPr>
        <w:pStyle w:val="ListParagraph"/>
        <w:numPr>
          <w:ilvl w:val="0"/>
          <w:numId w:val="4"/>
        </w:numPr>
        <w:contextualSpacing w:val="0"/>
        <w:rPr>
          <w:rFonts w:ascii="Arial Narrow" w:hAnsi="Arial Narrow" w:cs="Arial"/>
        </w:rPr>
      </w:pPr>
      <w:r w:rsidRPr="00F44F1F">
        <w:rPr>
          <w:rFonts w:ascii="Arial Narrow" w:hAnsi="Arial Narrow" w:cs="Arial"/>
        </w:rPr>
        <w:t>The orientation process will be the responsibility of the Vice Chair, Treasurer, and the Library Manager. This process will include an explanation of the materials in the new trustee’s orientation package and a tour of the library.</w:t>
      </w:r>
    </w:p>
    <w:p w:rsidR="00A765D9" w:rsidRPr="00F44F1F" w:rsidRDefault="00A765D9" w:rsidP="00A765D9">
      <w:pPr>
        <w:pStyle w:val="ListParagraph"/>
        <w:numPr>
          <w:ilvl w:val="0"/>
          <w:numId w:val="4"/>
        </w:numPr>
        <w:rPr>
          <w:rFonts w:ascii="Arial Narrow" w:hAnsi="Arial Narrow" w:cs="Arial"/>
        </w:rPr>
      </w:pPr>
      <w:r>
        <w:rPr>
          <w:rFonts w:ascii="Arial Narrow" w:hAnsi="Arial Narrow" w:cs="Arial"/>
          <w:noProof/>
          <w:lang w:val="en-CA" w:eastAsia="en-CA"/>
        </w:rPr>
        <mc:AlternateContent>
          <mc:Choice Requires="wps">
            <w:drawing>
              <wp:anchor distT="0" distB="0" distL="114300" distR="114300" simplePos="0" relativeHeight="251661312" behindDoc="0" locked="0" layoutInCell="1" allowOverlap="1">
                <wp:simplePos x="0" y="0"/>
                <wp:positionH relativeFrom="column">
                  <wp:posOffset>4791075</wp:posOffset>
                </wp:positionH>
                <wp:positionV relativeFrom="paragraph">
                  <wp:posOffset>280670</wp:posOffset>
                </wp:positionV>
                <wp:extent cx="1285875" cy="3429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429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65D9" w:rsidRPr="00D14C49" w:rsidRDefault="00A765D9" w:rsidP="00A765D9">
                            <w:pPr>
                              <w:jc w:val="center"/>
                              <w:rPr>
                                <w:rFonts w:ascii="Arial Rounded MT Bold" w:hAnsi="Arial Rounded MT Bold"/>
                                <w:color w:val="808080"/>
                                <w:sz w:val="28"/>
                                <w:szCs w:val="28"/>
                              </w:rPr>
                            </w:pPr>
                            <w:r>
                              <w:rPr>
                                <w:rFonts w:ascii="Arial Rounded MT Bold" w:hAnsi="Arial Rounded MT Bold"/>
                                <w:color w:val="808080"/>
                                <w:sz w:val="28"/>
                                <w:szCs w:val="28"/>
                              </w:rPr>
                              <w:t>Page 1 of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77.25pt;margin-top:22.1pt;width:101.2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" fillcolor="#d8d8d8" stroked="f">
                <v:textbox>
                  <w:txbxContent>
                    <w:p w:rsidR="00A765D9" w:rsidRPr="00D14C49" w:rsidRDefault="00A765D9" w:rsidP="00A765D9">
                      <w:pPr>
                        <w:jc w:val="center"/>
                        <w:rPr>
                          <w:rFonts w:ascii="Arial Rounded MT Bold" w:hAnsi="Arial Rounded MT Bold"/>
                          <w:color w:val="808080"/>
                          <w:sz w:val="28"/>
                          <w:szCs w:val="28"/>
                        </w:rPr>
                      </w:pPr>
                      <w:r>
                        <w:rPr>
                          <w:rFonts w:ascii="Arial Rounded MT Bold" w:hAnsi="Arial Rounded MT Bold"/>
                          <w:color w:val="808080"/>
                          <w:sz w:val="28"/>
                          <w:szCs w:val="28"/>
                        </w:rPr>
                        <w:t>Page 1 of 2</w:t>
                      </w:r>
                    </w:p>
                  </w:txbxContent>
                </v:textbox>
              </v:shape>
            </w:pict>
          </mc:Fallback>
        </mc:AlternateContent>
      </w:r>
      <w:r w:rsidRPr="00F44F1F">
        <w:rPr>
          <w:rFonts w:ascii="Arial Narrow" w:hAnsi="Arial Narrow" w:cs="Arial"/>
        </w:rPr>
        <w:t xml:space="preserve">The Library Trustee </w:t>
      </w:r>
      <w:proofErr w:type="gramStart"/>
      <w:r w:rsidRPr="00F44F1F">
        <w:rPr>
          <w:rFonts w:ascii="Arial Narrow" w:hAnsi="Arial Narrow" w:cs="Arial"/>
        </w:rPr>
        <w:t>will, with the Library Manager, acquaint</w:t>
      </w:r>
      <w:proofErr w:type="gramEnd"/>
      <w:r w:rsidRPr="00F44F1F">
        <w:rPr>
          <w:rFonts w:ascii="Arial Narrow" w:hAnsi="Arial Narrow" w:cs="Arial"/>
        </w:rPr>
        <w:t xml:space="preserve"> him-or herself with procedures and programs at the Library. </w:t>
      </w:r>
    </w:p>
    <w:p w:rsidR="00A765D9" w:rsidRPr="00F44F1F" w:rsidRDefault="00A765D9" w:rsidP="00A765D9">
      <w:pPr>
        <w:rPr>
          <w:rFonts w:ascii="Arial Narrow" w:hAnsi="Arial Narrow" w:cs="Arial"/>
          <w:b/>
        </w:rPr>
      </w:pPr>
      <w:r>
        <w:rPr>
          <w:rFonts w:ascii="Arial Narrow" w:hAnsi="Arial Narrow" w:cs="Arial"/>
          <w:noProof/>
          <w:lang w:val="en-CA" w:eastAsia="en-CA"/>
        </w:rPr>
        <w:lastRenderedPageBreak/>
        <mc:AlternateContent>
          <mc:Choice Requires="wps">
            <w:drawing>
              <wp:anchor distT="0" distB="0" distL="114300" distR="114300" simplePos="0" relativeHeight="251663360" behindDoc="0" locked="0" layoutInCell="1" allowOverlap="1">
                <wp:simplePos x="0" y="0"/>
                <wp:positionH relativeFrom="column">
                  <wp:posOffset>5076825</wp:posOffset>
                </wp:positionH>
                <wp:positionV relativeFrom="paragraph">
                  <wp:posOffset>-169545</wp:posOffset>
                </wp:positionV>
                <wp:extent cx="962025" cy="342900"/>
                <wp:effectExtent l="0"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429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65D9" w:rsidRPr="00D14C49" w:rsidRDefault="00A765D9" w:rsidP="00A765D9">
                            <w:pPr>
                              <w:jc w:val="center"/>
                              <w:rPr>
                                <w:rFonts w:ascii="Arial Rounded MT Bold" w:hAnsi="Arial Rounded MT Bold"/>
                                <w:color w:val="808080"/>
                                <w:sz w:val="28"/>
                                <w:szCs w:val="28"/>
                              </w:rPr>
                            </w:pPr>
                            <w:r w:rsidRPr="00D14C49">
                              <w:rPr>
                                <w:rFonts w:ascii="Arial Rounded MT Bold" w:hAnsi="Arial Rounded MT Bold"/>
                                <w:color w:val="808080"/>
                                <w:sz w:val="28"/>
                                <w:szCs w:val="28"/>
                              </w:rPr>
                              <w:t>SAMPLE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399.75pt;margin-top:-13.35pt;width:75.7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" fillcolor="#d8d8d8" stroked="f">
                <v:textbox>
                  <w:txbxContent>
                    <w:p w:rsidR="00A765D9" w:rsidRPr="00D14C49" w:rsidRDefault="00A765D9" w:rsidP="00A765D9">
                      <w:pPr>
                        <w:jc w:val="center"/>
                        <w:rPr>
                          <w:rFonts w:ascii="Arial Rounded MT Bold" w:hAnsi="Arial Rounded MT Bold"/>
                          <w:color w:val="808080"/>
                          <w:sz w:val="28"/>
                          <w:szCs w:val="28"/>
                        </w:rPr>
                      </w:pPr>
                      <w:r w:rsidRPr="00D14C49">
                        <w:rPr>
                          <w:rFonts w:ascii="Arial Rounded MT Bold" w:hAnsi="Arial Rounded MT Bold"/>
                          <w:color w:val="808080"/>
                          <w:sz w:val="28"/>
                          <w:szCs w:val="28"/>
                        </w:rPr>
                        <w:t>SAMPLE</w:t>
                      </w:r>
                    </w:p>
                  </w:txbxContent>
                </v:textbox>
              </v:shape>
            </w:pict>
          </mc:Fallback>
        </mc:AlternateContent>
      </w:r>
      <w:r w:rsidRPr="00F44F1F">
        <w:rPr>
          <w:rFonts w:ascii="Arial Narrow" w:hAnsi="Arial Narrow" w:cs="Arial"/>
          <w:b/>
        </w:rPr>
        <w:t xml:space="preserve">Continuing Education of Trustees </w:t>
      </w:r>
    </w:p>
    <w:p w:rsidR="00A765D9" w:rsidRPr="00F44F1F" w:rsidRDefault="00A765D9" w:rsidP="00A765D9">
      <w:pPr>
        <w:pStyle w:val="ListParagraph"/>
        <w:numPr>
          <w:ilvl w:val="0"/>
          <w:numId w:val="4"/>
        </w:numPr>
        <w:contextualSpacing w:val="0"/>
        <w:rPr>
          <w:rFonts w:ascii="Arial Narrow" w:hAnsi="Arial Narrow" w:cs="Arial"/>
        </w:rPr>
      </w:pPr>
      <w:r w:rsidRPr="00F44F1F">
        <w:rPr>
          <w:rFonts w:ascii="Arial Narrow" w:hAnsi="Arial Narrow" w:cs="Arial"/>
        </w:rPr>
        <w:t xml:space="preserve">The Board recognizes the importance of having informed Trustees. To ensure this, the Board provides, within the limits of its budget, financial support for attendance at library conferences and relevant workshops and membership in library organizations. </w:t>
      </w:r>
    </w:p>
    <w:p w:rsidR="00A765D9" w:rsidRPr="00F44F1F" w:rsidRDefault="00A765D9" w:rsidP="00A765D9">
      <w:pPr>
        <w:pStyle w:val="ListParagraph"/>
        <w:numPr>
          <w:ilvl w:val="0"/>
          <w:numId w:val="4"/>
        </w:numPr>
        <w:contextualSpacing w:val="0"/>
        <w:rPr>
          <w:rFonts w:ascii="Arial Narrow" w:hAnsi="Arial Narrow" w:cs="Arial"/>
        </w:rPr>
      </w:pPr>
      <w:r w:rsidRPr="00F44F1F">
        <w:rPr>
          <w:rFonts w:ascii="Arial Narrow" w:hAnsi="Arial Narrow" w:cs="Arial"/>
        </w:rPr>
        <w:t xml:space="preserve">Trustees </w:t>
      </w:r>
      <w:proofErr w:type="gramStart"/>
      <w:r w:rsidRPr="00F44F1F">
        <w:rPr>
          <w:rFonts w:ascii="Arial Narrow" w:hAnsi="Arial Narrow" w:cs="Arial"/>
        </w:rPr>
        <w:t>are expected</w:t>
      </w:r>
      <w:proofErr w:type="gramEnd"/>
      <w:r w:rsidRPr="00F44F1F">
        <w:rPr>
          <w:rFonts w:ascii="Arial Narrow" w:hAnsi="Arial Narrow" w:cs="Arial"/>
        </w:rPr>
        <w:t xml:space="preserve"> to regularly attend library or trustee courses or conferences in the area, as time and budget guidelines permit.</w:t>
      </w:r>
    </w:p>
    <w:p w:rsidR="00A765D9" w:rsidRPr="00F44F1F" w:rsidRDefault="00A765D9" w:rsidP="00A765D9">
      <w:pPr>
        <w:pStyle w:val="ListParagraph"/>
        <w:numPr>
          <w:ilvl w:val="0"/>
          <w:numId w:val="4"/>
        </w:numPr>
        <w:contextualSpacing w:val="0"/>
        <w:rPr>
          <w:rFonts w:ascii="Arial Narrow" w:hAnsi="Arial Narrow" w:cs="Arial"/>
        </w:rPr>
      </w:pPr>
      <w:r w:rsidRPr="00F44F1F">
        <w:rPr>
          <w:rFonts w:ascii="Arial Narrow" w:hAnsi="Arial Narrow" w:cs="Arial"/>
        </w:rPr>
        <w:t xml:space="preserve">Within budget guidelines, expenses incurred by individual Trustees for travel, subsistence, lodging, and registration fees </w:t>
      </w:r>
      <w:proofErr w:type="gramStart"/>
      <w:r w:rsidRPr="00F44F1F">
        <w:rPr>
          <w:rFonts w:ascii="Arial Narrow" w:hAnsi="Arial Narrow" w:cs="Arial"/>
        </w:rPr>
        <w:t>will be reimbursed</w:t>
      </w:r>
      <w:proofErr w:type="gramEnd"/>
      <w:r w:rsidRPr="00F44F1F">
        <w:rPr>
          <w:rFonts w:ascii="Arial Narrow" w:hAnsi="Arial Narrow" w:cs="Arial"/>
        </w:rPr>
        <w:t xml:space="preserve">, </w:t>
      </w:r>
      <w:r>
        <w:rPr>
          <w:rFonts w:ascii="Arial Narrow" w:hAnsi="Arial Narrow" w:cs="Arial"/>
        </w:rPr>
        <w:t>as per established procedure</w:t>
      </w:r>
      <w:r w:rsidRPr="00F44F1F">
        <w:rPr>
          <w:rFonts w:ascii="Arial Narrow" w:hAnsi="Arial Narrow" w:cs="Arial"/>
        </w:rPr>
        <w:t>.</w:t>
      </w:r>
    </w:p>
    <w:p w:rsidR="00A765D9" w:rsidRPr="00F44F1F" w:rsidRDefault="00A765D9" w:rsidP="00A765D9">
      <w:pPr>
        <w:pStyle w:val="ListParagraph"/>
        <w:numPr>
          <w:ilvl w:val="0"/>
          <w:numId w:val="4"/>
        </w:numPr>
        <w:contextualSpacing w:val="0"/>
        <w:rPr>
          <w:rFonts w:ascii="Arial Narrow" w:hAnsi="Arial Narrow" w:cs="Arial"/>
        </w:rPr>
      </w:pPr>
      <w:r w:rsidRPr="00F44F1F">
        <w:rPr>
          <w:rFonts w:ascii="Arial Narrow" w:hAnsi="Arial Narrow" w:cs="Arial"/>
        </w:rPr>
        <w:t xml:space="preserve">Trustees </w:t>
      </w:r>
      <w:proofErr w:type="gramStart"/>
      <w:r w:rsidRPr="00F44F1F">
        <w:rPr>
          <w:rFonts w:ascii="Arial Narrow" w:hAnsi="Arial Narrow" w:cs="Arial"/>
        </w:rPr>
        <w:t>are expected</w:t>
      </w:r>
      <w:proofErr w:type="gramEnd"/>
      <w:r w:rsidRPr="00F44F1F">
        <w:rPr>
          <w:rFonts w:ascii="Arial Narrow" w:hAnsi="Arial Narrow" w:cs="Arial"/>
        </w:rPr>
        <w:t xml:space="preserve"> to provide a verbal report on conference attendance to the Board. </w:t>
      </w:r>
    </w:p>
    <w:p w:rsidR="00A765D9" w:rsidRPr="00F44F1F" w:rsidRDefault="00A765D9" w:rsidP="00A765D9">
      <w:pPr>
        <w:pStyle w:val="ListParagraph"/>
        <w:numPr>
          <w:ilvl w:val="0"/>
          <w:numId w:val="4"/>
        </w:numPr>
        <w:contextualSpacing w:val="0"/>
        <w:rPr>
          <w:rFonts w:ascii="Arial Narrow" w:hAnsi="Arial Narrow" w:cs="Arial"/>
        </w:rPr>
      </w:pPr>
      <w:r w:rsidRPr="00F44F1F">
        <w:rPr>
          <w:rFonts w:ascii="Arial Narrow" w:hAnsi="Arial Narrow" w:cs="Arial"/>
        </w:rPr>
        <w:t>All Trustees will regularly attend trustee workshops, as time and budget guidelines permit.</w:t>
      </w:r>
    </w:p>
    <w:p w:rsidR="00A765D9" w:rsidRPr="00F44F1F" w:rsidRDefault="00A765D9" w:rsidP="00A765D9">
      <w:pPr>
        <w:rPr>
          <w:rFonts w:ascii="Arial Narrow" w:hAnsi="Arial Narrow" w:cs="Arial"/>
          <w:b/>
        </w:rPr>
      </w:pPr>
      <w:r w:rsidRPr="00F44F1F">
        <w:rPr>
          <w:rFonts w:ascii="Arial Narrow" w:hAnsi="Arial Narrow" w:cs="Arial"/>
          <w:b/>
        </w:rPr>
        <w:t xml:space="preserve">Association Memberships </w:t>
      </w:r>
    </w:p>
    <w:p w:rsidR="00A765D9" w:rsidRPr="00F44F1F" w:rsidRDefault="00A765D9" w:rsidP="00A765D9">
      <w:pPr>
        <w:pStyle w:val="ListParagraph"/>
        <w:numPr>
          <w:ilvl w:val="0"/>
          <w:numId w:val="4"/>
        </w:numPr>
        <w:contextualSpacing w:val="0"/>
        <w:rPr>
          <w:rFonts w:ascii="Arial Narrow" w:hAnsi="Arial Narrow" w:cs="Arial"/>
        </w:rPr>
      </w:pPr>
      <w:r w:rsidRPr="00F44F1F">
        <w:rPr>
          <w:rFonts w:ascii="Arial Narrow" w:hAnsi="Arial Narrow" w:cs="Arial"/>
        </w:rPr>
        <w:t>The Board purchases an annual institutional membership in the Alberta Library Trustees Association (ALTA).  The Board Chair is the voting representative.</w:t>
      </w:r>
    </w:p>
    <w:p w:rsidR="00A765D9" w:rsidRPr="00F44F1F" w:rsidRDefault="00A765D9" w:rsidP="00A765D9">
      <w:pPr>
        <w:pStyle w:val="ListParagraph"/>
        <w:numPr>
          <w:ilvl w:val="0"/>
          <w:numId w:val="4"/>
        </w:numPr>
        <w:contextualSpacing w:val="0"/>
        <w:rPr>
          <w:rFonts w:ascii="Arial Narrow" w:hAnsi="Arial Narrow" w:cs="Arial"/>
        </w:rPr>
      </w:pPr>
      <w:r w:rsidRPr="00F44F1F">
        <w:rPr>
          <w:rFonts w:ascii="Arial Narrow" w:hAnsi="Arial Narrow" w:cs="Arial"/>
        </w:rPr>
        <w:t xml:space="preserve">Expenses incurred by individual Trustees for association memberships </w:t>
      </w:r>
      <w:proofErr w:type="gramStart"/>
      <w:r w:rsidRPr="00F44F1F">
        <w:rPr>
          <w:rFonts w:ascii="Arial Narrow" w:hAnsi="Arial Narrow" w:cs="Arial"/>
        </w:rPr>
        <w:t>may be reimbursed</w:t>
      </w:r>
      <w:proofErr w:type="gramEnd"/>
      <w:r w:rsidRPr="00F44F1F">
        <w:rPr>
          <w:rFonts w:ascii="Arial Narrow" w:hAnsi="Arial Narrow" w:cs="Arial"/>
        </w:rPr>
        <w:t>, with prior approval by board motion.</w:t>
      </w:r>
    </w:p>
    <w:p w:rsidR="008920A0" w:rsidRPr="00A765D9" w:rsidRDefault="00A765D9" w:rsidP="00A765D9">
      <w:r>
        <w:rPr>
          <w:rFonts w:ascii="Arial Narrow" w:hAnsi="Arial Narrow" w:cs="Arial"/>
          <w:noProof/>
          <w:lang w:val="en-CA" w:eastAsia="en-CA"/>
        </w:rPr>
        <mc:AlternateContent>
          <mc:Choice Requires="wps">
            <w:drawing>
              <wp:anchor distT="0" distB="0" distL="114300" distR="114300" simplePos="0" relativeHeight="251664384" behindDoc="0" locked="0" layoutInCell="1" allowOverlap="1">
                <wp:simplePos x="0" y="0"/>
                <wp:positionH relativeFrom="column">
                  <wp:posOffset>4705350</wp:posOffset>
                </wp:positionH>
                <wp:positionV relativeFrom="paragraph">
                  <wp:posOffset>3961130</wp:posOffset>
                </wp:positionV>
                <wp:extent cx="1285875" cy="342900"/>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429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65D9" w:rsidRPr="00D14C49" w:rsidRDefault="00A765D9" w:rsidP="00A765D9">
                            <w:pPr>
                              <w:jc w:val="center"/>
                              <w:rPr>
                                <w:rFonts w:ascii="Arial Rounded MT Bold" w:hAnsi="Arial Rounded MT Bold"/>
                                <w:color w:val="808080"/>
                                <w:sz w:val="28"/>
                                <w:szCs w:val="28"/>
                              </w:rPr>
                            </w:pPr>
                            <w:r>
                              <w:rPr>
                                <w:rFonts w:ascii="Arial Rounded MT Bold" w:hAnsi="Arial Rounded MT Bold"/>
                                <w:color w:val="808080"/>
                                <w:sz w:val="28"/>
                                <w:szCs w:val="28"/>
                              </w:rPr>
                              <w:t>Page 2 of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370.5pt;margin-top:311.9pt;width:101.2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" fillcolor="#d8d8d8" stroked="f">
                <v:textbox>
                  <w:txbxContent>
                    <w:p w:rsidR="00A765D9" w:rsidRPr="00D14C49" w:rsidRDefault="00A765D9" w:rsidP="00A765D9">
                      <w:pPr>
                        <w:jc w:val="center"/>
                        <w:rPr>
                          <w:rFonts w:ascii="Arial Rounded MT Bold" w:hAnsi="Arial Rounded MT Bold"/>
                          <w:color w:val="808080"/>
                          <w:sz w:val="28"/>
                          <w:szCs w:val="28"/>
                        </w:rPr>
                      </w:pPr>
                      <w:r>
                        <w:rPr>
                          <w:rFonts w:ascii="Arial Rounded MT Bold" w:hAnsi="Arial Rounded MT Bold"/>
                          <w:color w:val="808080"/>
                          <w:sz w:val="28"/>
                          <w:szCs w:val="28"/>
                        </w:rPr>
                        <w:t>Page 2 of 2</w:t>
                      </w:r>
                    </w:p>
                  </w:txbxContent>
                </v:textbox>
              </v:shape>
            </w:pict>
          </mc:Fallback>
        </mc:AlternateContent>
      </w:r>
    </w:p>
    <w:sectPr w:rsidR="008920A0" w:rsidRPr="00A765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71DD7"/>
    <w:multiLevelType w:val="hybridMultilevel"/>
    <w:tmpl w:val="EF74D96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4FCE5FCE"/>
    <w:multiLevelType w:val="hybridMultilevel"/>
    <w:tmpl w:val="B2A29AC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17F32BE"/>
    <w:multiLevelType w:val="hybridMultilevel"/>
    <w:tmpl w:val="BF26BA3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A361BEF"/>
    <w:multiLevelType w:val="hybridMultilevel"/>
    <w:tmpl w:val="A63A79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C16776D"/>
    <w:multiLevelType w:val="hybridMultilevel"/>
    <w:tmpl w:val="4392AEA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D8828EB"/>
    <w:multiLevelType w:val="hybridMultilevel"/>
    <w:tmpl w:val="1366901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6DE"/>
    <w:rsid w:val="004B46DE"/>
    <w:rsid w:val="00757E30"/>
    <w:rsid w:val="008920A0"/>
    <w:rsid w:val="00A765D9"/>
    <w:rsid w:val="00BA6DE3"/>
    <w:rsid w:val="00C51E41"/>
    <w:rsid w:val="00CB178C"/>
    <w:rsid w:val="00D80C38"/>
    <w:rsid w:val="00FC34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3BFA93-59C1-4A98-8082-D8D3F9010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5D9"/>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6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Sample Orientation and Continuing Education for Board Policy</vt:lpstr>
    </vt:vector>
  </TitlesOfParts>
  <Company>GOA</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Orientation and Continuing Education for Board Policy</dc:title>
  <dc:subject>Public library board policies</dc:subject>
  <dc:creator>Government of Alberta</dc:creator>
  <cp:keywords>Sample Orientation and Continuing Education for Board Policy</cp:keywords>
  <cp:lastModifiedBy>Jennifer Lau</cp:lastModifiedBy>
  <cp:revision>3</cp:revision>
  <dcterms:created xsi:type="dcterms:W3CDTF">2019-09-19T15:06:00Z</dcterms:created>
  <dcterms:modified xsi:type="dcterms:W3CDTF">2019-09-19T15:06:00Z</dcterms:modified>
</cp:coreProperties>
</file>