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14:paraId="3617D6A1" w14:textId="77777777" w:rsidTr="00455362">
        <w:tc>
          <w:tcPr>
            <w:tcW w:w="535" w:type="dxa"/>
            <w:shd w:val="clear" w:color="auto" w:fill="00AAD2"/>
            <w:tcMar>
              <w:left w:w="0" w:type="dxa"/>
              <w:right w:w="0" w:type="dxa"/>
            </w:tcMar>
          </w:tcPr>
          <w:p w14:paraId="7602BB77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61DEA975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14:paraId="06B8C9B0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4B91B242" w14:textId="0200A421" w:rsidR="00DA3F03" w:rsidRPr="00C73636" w:rsidRDefault="0087400A" w:rsidP="00C73636">
            <w:pPr>
              <w:pStyle w:val="Section1"/>
            </w:pPr>
            <w:r>
              <w:t>Annual Operating Report</w:t>
            </w:r>
            <w:r w:rsidR="00667C6E">
              <w:t xml:space="preserve"> (AOR) Surface Materials Lease</w:t>
            </w:r>
          </w:p>
          <w:p w14:paraId="2F706AAA" w14:textId="75B689B4" w:rsidR="00DA3F03" w:rsidRPr="00C73636" w:rsidRDefault="0087400A" w:rsidP="00C73636">
            <w:pPr>
              <w:pStyle w:val="Section2"/>
            </w:pPr>
            <w:r>
              <w:t>All royalty types except peat</w:t>
            </w:r>
          </w:p>
        </w:tc>
      </w:tr>
    </w:tbl>
    <w:p w14:paraId="7A1E14D0" w14:textId="77777777" w:rsidR="00DA3F03" w:rsidRDefault="00DA3F03" w:rsidP="001A0B0D">
      <w:pPr>
        <w:pStyle w:val="Heading1"/>
        <w:tabs>
          <w:tab w:val="left" w:pos="5040"/>
        </w:tabs>
        <w:sectPr w:rsidR="00DA3F03" w:rsidSect="005B596D">
          <w:footerReference w:type="even" r:id="rId12"/>
          <w:footerReference w:type="default" r:id="rId13"/>
          <w:footerReference w:type="first" r:id="rId14"/>
          <w:type w:val="continuous"/>
          <w:pgSz w:w="12240" w:h="15840" w:code="1"/>
          <w:pgMar w:top="1080" w:right="1080" w:bottom="1440" w:left="1080" w:header="547" w:footer="403" w:gutter="0"/>
          <w:cols w:space="360"/>
          <w:docGrid w:linePitch="360"/>
        </w:sectPr>
      </w:pPr>
      <w:bookmarkStart w:id="0" w:name="_Toc34038790"/>
    </w:p>
    <w:bookmarkEnd w:id="0"/>
    <w:p w14:paraId="393457AB" w14:textId="77777777" w:rsidR="0087400A" w:rsidRPr="0087400A" w:rsidRDefault="0087400A" w:rsidP="0087400A">
      <w:pPr>
        <w:tabs>
          <w:tab w:val="left" w:pos="7200"/>
        </w:tabs>
        <w:spacing w:after="0" w:line="240" w:lineRule="auto"/>
        <w:textAlignment w:val="auto"/>
        <w:rPr>
          <w:lang w:val="en"/>
        </w:rPr>
      </w:pPr>
      <w:r w:rsidRPr="0087400A">
        <w:rPr>
          <w:b/>
          <w:bCs/>
          <w:lang w:val="en"/>
        </w:rPr>
        <w:t xml:space="preserve">Surface Materials Lease No. SML </w:t>
      </w:r>
      <w:r w:rsidRPr="0087400A">
        <w:rPr>
          <w:u w:val="single"/>
          <w:lang w:val="en"/>
        </w:rPr>
        <w:t>     </w:t>
      </w:r>
      <w:r w:rsidRPr="0087400A">
        <w:rPr>
          <w:u w:val="single"/>
          <w:lang w:val="en"/>
        </w:rPr>
        <w:tab/>
      </w:r>
    </w:p>
    <w:p w14:paraId="281416D6" w14:textId="77777777" w:rsidR="0087400A" w:rsidRPr="0087400A" w:rsidRDefault="0087400A" w:rsidP="0087400A">
      <w:pPr>
        <w:tabs>
          <w:tab w:val="left" w:pos="7200"/>
        </w:tabs>
        <w:spacing w:after="0" w:line="240" w:lineRule="auto"/>
        <w:textAlignment w:val="auto"/>
        <w:rPr>
          <w:lang w:val="en"/>
        </w:rPr>
      </w:pPr>
    </w:p>
    <w:p w14:paraId="25BCCFCF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  <w:r w:rsidRPr="0087400A">
        <w:rPr>
          <w:lang w:val="en"/>
        </w:rPr>
        <w:t xml:space="preserve">Anniversary date of Lease: </w:t>
      </w:r>
      <w:proofErr w:type="gramStart"/>
      <w:r w:rsidRPr="0087400A">
        <w:rPr>
          <w:lang w:val="en"/>
        </w:rPr>
        <w:t>(</w:t>
      </w:r>
      <w:r w:rsidRPr="0087400A">
        <w:rPr>
          <w:u w:val="single"/>
          <w:lang w:val="en"/>
        </w:rPr>
        <w:t>  </w:t>
      </w:r>
      <w:proofErr w:type="gramEnd"/>
      <w:r w:rsidRPr="0087400A">
        <w:rPr>
          <w:u w:val="single"/>
          <w:lang w:val="en"/>
        </w:rPr>
        <w:t>   </w:t>
      </w:r>
      <w:r w:rsidRPr="0087400A">
        <w:rPr>
          <w:lang w:val="en"/>
        </w:rPr>
        <w:t>/</w:t>
      </w:r>
      <w:r w:rsidRPr="0087400A">
        <w:rPr>
          <w:u w:val="single"/>
          <w:lang w:val="en"/>
        </w:rPr>
        <w:t>     </w:t>
      </w:r>
      <w:r w:rsidRPr="0087400A">
        <w:rPr>
          <w:lang w:val="en"/>
        </w:rPr>
        <w:t>/</w:t>
      </w:r>
      <w:r w:rsidRPr="0087400A">
        <w:rPr>
          <w:u w:val="single"/>
          <w:lang w:val="en"/>
        </w:rPr>
        <w:t>     </w:t>
      </w:r>
      <w:r w:rsidRPr="0087400A">
        <w:rPr>
          <w:lang w:val="en"/>
        </w:rPr>
        <w:t>) day/month/year</w:t>
      </w:r>
    </w:p>
    <w:p w14:paraId="577CF74A" w14:textId="77777777" w:rsidR="0087400A" w:rsidRPr="0087400A" w:rsidRDefault="0087400A" w:rsidP="0087400A">
      <w:pPr>
        <w:tabs>
          <w:tab w:val="left" w:pos="2790"/>
        </w:tabs>
        <w:spacing w:after="0" w:line="240" w:lineRule="auto"/>
        <w:textAlignment w:val="auto"/>
        <w:rPr>
          <w:lang w:val="en"/>
        </w:rPr>
      </w:pPr>
    </w:p>
    <w:p w14:paraId="7027A979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  <w:r w:rsidRPr="0087400A">
        <w:rPr>
          <w:lang w:val="en"/>
        </w:rPr>
        <w:t xml:space="preserve">Date inspection for AOR completed: </w:t>
      </w:r>
      <w:proofErr w:type="gramStart"/>
      <w:r w:rsidRPr="0087400A">
        <w:rPr>
          <w:lang w:val="en"/>
        </w:rPr>
        <w:t>(</w:t>
      </w:r>
      <w:r w:rsidRPr="0087400A">
        <w:rPr>
          <w:u w:val="single"/>
          <w:lang w:val="en"/>
        </w:rPr>
        <w:t>  </w:t>
      </w:r>
      <w:proofErr w:type="gramEnd"/>
      <w:r w:rsidRPr="0087400A">
        <w:rPr>
          <w:u w:val="single"/>
          <w:lang w:val="en"/>
        </w:rPr>
        <w:t>   </w:t>
      </w:r>
      <w:r w:rsidRPr="0087400A">
        <w:rPr>
          <w:lang w:val="en"/>
        </w:rPr>
        <w:t>/</w:t>
      </w:r>
      <w:r w:rsidRPr="0087400A">
        <w:rPr>
          <w:u w:val="single"/>
          <w:lang w:val="en"/>
        </w:rPr>
        <w:t>     </w:t>
      </w:r>
      <w:r w:rsidRPr="0087400A">
        <w:rPr>
          <w:lang w:val="en"/>
        </w:rPr>
        <w:t>/</w:t>
      </w:r>
      <w:r w:rsidRPr="0087400A">
        <w:rPr>
          <w:u w:val="single"/>
          <w:lang w:val="en"/>
        </w:rPr>
        <w:t>     </w:t>
      </w:r>
      <w:r w:rsidRPr="0087400A">
        <w:rPr>
          <w:lang w:val="en"/>
        </w:rPr>
        <w:t>) day/month/year</w:t>
      </w:r>
    </w:p>
    <w:p w14:paraId="3C9D6DC2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</w:p>
    <w:p w14:paraId="7E888D68" w14:textId="6A3A4891" w:rsidR="0087400A" w:rsidRPr="0087400A" w:rsidRDefault="0087400A" w:rsidP="0087400A">
      <w:pPr>
        <w:spacing w:after="0" w:line="240" w:lineRule="auto"/>
        <w:ind w:right="-90"/>
        <w:textAlignment w:val="auto"/>
        <w:rPr>
          <w:lang w:val="en"/>
        </w:rPr>
      </w:pPr>
      <w:r w:rsidRPr="0087400A">
        <w:rPr>
          <w:lang w:val="en"/>
        </w:rPr>
        <w:t xml:space="preserve">Has development (clearing of vegetation or excavation) taken place on the lease?  </w:t>
      </w:r>
      <w:sdt>
        <w:sdtPr>
          <w:rPr>
            <w:lang w:val="en"/>
          </w:rPr>
          <w:id w:val="146754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C8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87400A">
        <w:rPr>
          <w:lang w:val="en"/>
        </w:rPr>
        <w:t xml:space="preserve">Yes </w:t>
      </w:r>
      <w:sdt>
        <w:sdtPr>
          <w:rPr>
            <w:lang w:val="en"/>
          </w:rPr>
          <w:id w:val="-2092459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C8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87400A">
        <w:rPr>
          <w:lang w:val="en"/>
        </w:rPr>
        <w:t xml:space="preserve"> No</w:t>
      </w:r>
    </w:p>
    <w:p w14:paraId="57A5B821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</w:p>
    <w:tbl>
      <w:tblPr>
        <w:tblW w:w="0" w:type="auto"/>
        <w:tblInd w:w="14" w:type="dxa"/>
        <w:tblLayout w:type="fixed"/>
        <w:tblLook w:val="0000" w:firstRow="0" w:lastRow="0" w:firstColumn="0" w:lastColumn="0" w:noHBand="0" w:noVBand="0"/>
      </w:tblPr>
      <w:tblGrid>
        <w:gridCol w:w="7020"/>
        <w:gridCol w:w="2430"/>
      </w:tblGrid>
      <w:tr w:rsidR="0087400A" w:rsidRPr="0087400A" w14:paraId="6E746C75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0B95B2D1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b/>
                <w:bCs/>
                <w:lang w:val="en"/>
              </w:rPr>
              <w:t>Part A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08F9B3D3" w14:textId="77777777" w:rsidR="0087400A" w:rsidRPr="0087400A" w:rsidRDefault="0087400A">
            <w:pPr>
              <w:widowControl w:val="0"/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87400A">
              <w:rPr>
                <w:b/>
                <w:bCs/>
                <w:lang w:val="en"/>
              </w:rPr>
              <w:t>hectares</w:t>
            </w:r>
          </w:p>
        </w:tc>
      </w:tr>
      <w:tr w:rsidR="0087400A" w:rsidRPr="0087400A" w14:paraId="3930958F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1B74C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Total area of lease that has been cleared of vegetation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19C93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  <w:tr w:rsidR="0087400A" w:rsidRPr="0087400A" w14:paraId="22A93452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E666D8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Total area where extraction has been completed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4226A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  <w:tr w:rsidR="0087400A" w:rsidRPr="0087400A" w14:paraId="49CEEE56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48F259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Total area under reclamation (</w:t>
            </w:r>
            <w:proofErr w:type="gramStart"/>
            <w:r w:rsidRPr="0087400A">
              <w:rPr>
                <w:lang w:val="en"/>
              </w:rPr>
              <w:t>top soil</w:t>
            </w:r>
            <w:proofErr w:type="gramEnd"/>
            <w:r w:rsidRPr="0087400A">
              <w:rPr>
                <w:lang w:val="en"/>
              </w:rPr>
              <w:t xml:space="preserve"> replaced)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621E4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  <w:tr w:rsidR="0087400A" w:rsidRPr="0087400A" w14:paraId="118E07A1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9A3029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The average depth of area excavated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366359" w14:textId="77777777" w:rsidR="0087400A" w:rsidRPr="0087400A" w:rsidRDefault="0087400A">
            <w:pPr>
              <w:widowControl w:val="0"/>
              <w:tabs>
                <w:tab w:val="right" w:pos="2142"/>
              </w:tabs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  <w:r w:rsidRPr="0087400A">
              <w:rPr>
                <w:lang w:val="en"/>
              </w:rPr>
              <w:tab/>
            </w:r>
            <w:proofErr w:type="spellStart"/>
            <w:r w:rsidRPr="0087400A">
              <w:rPr>
                <w:lang w:val="en"/>
              </w:rPr>
              <w:t>metres</w:t>
            </w:r>
            <w:proofErr w:type="spellEnd"/>
          </w:p>
        </w:tc>
      </w:tr>
    </w:tbl>
    <w:p w14:paraId="10C76B1B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</w:p>
    <w:tbl>
      <w:tblPr>
        <w:tblW w:w="0" w:type="auto"/>
        <w:tblInd w:w="14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87400A" w:rsidRPr="0087400A" w14:paraId="29527A19" w14:textId="77777777">
        <w:trPr>
          <w:trHeight w:val="432"/>
        </w:trPr>
        <w:tc>
          <w:tcPr>
            <w:tcW w:w="9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4D64A673" w14:textId="77777777" w:rsidR="0087400A" w:rsidRPr="0087400A" w:rsidRDefault="0087400A">
            <w:pPr>
              <w:widowControl w:val="0"/>
              <w:tabs>
                <w:tab w:val="left" w:pos="2862"/>
                <w:tab w:val="left" w:pos="5742"/>
              </w:tabs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b/>
                <w:bCs/>
                <w:lang w:val="en"/>
              </w:rPr>
              <w:t>Part B:</w:t>
            </w:r>
          </w:p>
        </w:tc>
      </w:tr>
      <w:tr w:rsidR="0087400A" w:rsidRPr="0087400A" w14:paraId="3E768121" w14:textId="77777777">
        <w:trPr>
          <w:trHeight w:val="1169"/>
        </w:trPr>
        <w:tc>
          <w:tcPr>
            <w:tcW w:w="9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2CF45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 xml:space="preserve">Provide a sketch on a scale drawing (preferably using the same scale as the original development plan) showing the outline of the above noted areas plus the location and type of stockpiles </w:t>
            </w:r>
            <w:proofErr w:type="gramStart"/>
            <w:r w:rsidRPr="0087400A">
              <w:rPr>
                <w:lang w:val="en"/>
              </w:rPr>
              <w:t>and also</w:t>
            </w:r>
            <w:proofErr w:type="gramEnd"/>
            <w:r w:rsidRPr="0087400A">
              <w:rPr>
                <w:lang w:val="en"/>
              </w:rPr>
              <w:t xml:space="preserve"> updated drawings of your original cross section locations showing excavation depths and activities.</w:t>
            </w:r>
          </w:p>
        </w:tc>
      </w:tr>
    </w:tbl>
    <w:p w14:paraId="63449A84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</w:p>
    <w:tbl>
      <w:tblPr>
        <w:tblW w:w="0" w:type="auto"/>
        <w:tblInd w:w="14" w:type="dxa"/>
        <w:tblLayout w:type="fixed"/>
        <w:tblLook w:val="0000" w:firstRow="0" w:lastRow="0" w:firstColumn="0" w:lastColumn="0" w:noHBand="0" w:noVBand="0"/>
      </w:tblPr>
      <w:tblGrid>
        <w:gridCol w:w="7020"/>
        <w:gridCol w:w="2430"/>
      </w:tblGrid>
      <w:tr w:rsidR="0087400A" w:rsidRPr="0087400A" w14:paraId="0B365104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59E89763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b/>
                <w:bCs/>
                <w:lang w:val="en"/>
              </w:rPr>
              <w:t>Part C: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0E0"/>
            <w:vAlign w:val="center"/>
          </w:tcPr>
          <w:p w14:paraId="4B049E36" w14:textId="77777777" w:rsidR="0087400A" w:rsidRPr="0087400A" w:rsidRDefault="0087400A">
            <w:pPr>
              <w:widowControl w:val="0"/>
              <w:spacing w:after="0" w:line="240" w:lineRule="auto"/>
              <w:jc w:val="center"/>
              <w:textAlignment w:val="auto"/>
              <w:rPr>
                <w:lang w:val="en"/>
              </w:rPr>
            </w:pPr>
            <w:r w:rsidRPr="0087400A">
              <w:rPr>
                <w:b/>
                <w:bCs/>
                <w:lang w:val="en"/>
              </w:rPr>
              <w:t>cu. yd.</w:t>
            </w:r>
          </w:p>
        </w:tc>
      </w:tr>
      <w:tr w:rsidR="0087400A" w:rsidRPr="0087400A" w14:paraId="785C6772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CEC04C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Volume of stockpile of processed materials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40624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  <w:tr w:rsidR="0087400A" w:rsidRPr="0087400A" w14:paraId="3E03F542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F96E7D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Volume of stockpile of reject material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105E70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  <w:tr w:rsidR="0087400A" w:rsidRPr="0087400A" w14:paraId="4D25A74A" w14:textId="77777777">
        <w:trPr>
          <w:trHeight w:val="432"/>
        </w:trPr>
        <w:tc>
          <w:tcPr>
            <w:tcW w:w="7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E4C782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Volume of reject material used for reclamation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C69A99" w14:textId="77777777" w:rsidR="0087400A" w:rsidRPr="0087400A" w:rsidRDefault="0087400A">
            <w:pPr>
              <w:widowControl w:val="0"/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     </w:t>
            </w:r>
          </w:p>
        </w:tc>
      </w:tr>
    </w:tbl>
    <w:p w14:paraId="388F9534" w14:textId="77777777" w:rsidR="0087400A" w:rsidRPr="0087400A" w:rsidRDefault="0087400A" w:rsidP="0087400A">
      <w:pPr>
        <w:spacing w:after="0" w:line="240" w:lineRule="auto"/>
        <w:textAlignment w:val="auto"/>
        <w:rPr>
          <w:lang w:val="en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87400A" w:rsidRPr="0087400A" w14:paraId="38ACA3F7" w14:textId="77777777">
        <w:trPr>
          <w:trHeight w:val="2195"/>
        </w:trPr>
        <w:tc>
          <w:tcPr>
            <w:tcW w:w="9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5BC521" w14:textId="77777777" w:rsidR="0087400A" w:rsidRPr="0087400A" w:rsidRDefault="0087400A">
            <w:pPr>
              <w:spacing w:after="0" w:line="240" w:lineRule="auto"/>
              <w:textAlignment w:val="auto"/>
              <w:rPr>
                <w:b/>
                <w:bCs/>
                <w:lang w:val="en"/>
              </w:rPr>
            </w:pPr>
            <w:r w:rsidRPr="0087400A">
              <w:rPr>
                <w:b/>
                <w:bCs/>
                <w:lang w:val="en"/>
              </w:rPr>
              <w:t>Conversion factors:</w:t>
            </w:r>
          </w:p>
          <w:p w14:paraId="16A669A5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092F8CBA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1 cubic meter = 1.308 cubic yards</w:t>
            </w:r>
          </w:p>
          <w:p w14:paraId="00366E60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 xml:space="preserve">1.365 </w:t>
            </w:r>
            <w:proofErr w:type="spellStart"/>
            <w:r w:rsidRPr="0087400A">
              <w:rPr>
                <w:lang w:val="en"/>
              </w:rPr>
              <w:t>Tonnes</w:t>
            </w:r>
            <w:proofErr w:type="spellEnd"/>
            <w:r w:rsidRPr="0087400A">
              <w:rPr>
                <w:lang w:val="en"/>
              </w:rPr>
              <w:t xml:space="preserve"> = 1 cubic meter</w:t>
            </w:r>
          </w:p>
          <w:p w14:paraId="43351232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 xml:space="preserve">1.2477064 </w:t>
            </w:r>
            <w:proofErr w:type="spellStart"/>
            <w:r w:rsidRPr="0087400A">
              <w:rPr>
                <w:lang w:val="en"/>
              </w:rPr>
              <w:t>Tonnes</w:t>
            </w:r>
            <w:proofErr w:type="spellEnd"/>
            <w:r w:rsidRPr="0087400A">
              <w:rPr>
                <w:lang w:val="en"/>
              </w:rPr>
              <w:t xml:space="preserve"> of gravel = 1 cubic yard</w:t>
            </w:r>
          </w:p>
          <w:p w14:paraId="6607E047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 xml:space="preserve">1.0435779 </w:t>
            </w:r>
            <w:proofErr w:type="spellStart"/>
            <w:r w:rsidRPr="0087400A">
              <w:rPr>
                <w:lang w:val="en"/>
              </w:rPr>
              <w:t>Tonnes</w:t>
            </w:r>
            <w:proofErr w:type="spellEnd"/>
            <w:r w:rsidRPr="0087400A">
              <w:rPr>
                <w:lang w:val="en"/>
              </w:rPr>
              <w:t xml:space="preserve"> of sand = 1 cubic yard</w:t>
            </w:r>
          </w:p>
          <w:p w14:paraId="57340365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</w:p>
          <w:p w14:paraId="01732059" w14:textId="77777777" w:rsidR="0087400A" w:rsidRPr="0087400A" w:rsidRDefault="0087400A">
            <w:pPr>
              <w:spacing w:after="0" w:line="240" w:lineRule="auto"/>
              <w:textAlignment w:val="auto"/>
              <w:rPr>
                <w:lang w:val="en"/>
              </w:rPr>
            </w:pPr>
            <w:r w:rsidRPr="0087400A">
              <w:rPr>
                <w:lang w:val="en"/>
              </w:rPr>
              <w:t>Hectares to Acres x 2.471</w:t>
            </w:r>
          </w:p>
        </w:tc>
      </w:tr>
    </w:tbl>
    <w:p w14:paraId="5B6DD4F9" w14:textId="0AD29C11" w:rsidR="00142AC6" w:rsidRPr="0087400A" w:rsidRDefault="00142AC6" w:rsidP="006F1C8E">
      <w:pPr>
        <w:pStyle w:val="Heading1"/>
        <w:tabs>
          <w:tab w:val="left" w:pos="4080"/>
        </w:tabs>
        <w:rPr>
          <w:sz w:val="18"/>
          <w:szCs w:val="18"/>
        </w:rPr>
      </w:pPr>
    </w:p>
    <w:sectPr w:rsidR="00142AC6" w:rsidRPr="0087400A" w:rsidSect="0087400A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5AD8" w14:textId="77777777" w:rsidR="0087400A" w:rsidRDefault="0087400A" w:rsidP="00EB6203">
      <w:r>
        <w:separator/>
      </w:r>
    </w:p>
  </w:endnote>
  <w:endnote w:type="continuationSeparator" w:id="0">
    <w:p w14:paraId="2E14C788" w14:textId="77777777" w:rsidR="0087400A" w:rsidRDefault="0087400A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388F" w14:textId="758E81A2" w:rsidR="00C647B3" w:rsidRDefault="008740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71019A3" wp14:editId="2FAC3C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6338F" w14:textId="00B4D9BB" w:rsidR="0087400A" w:rsidRPr="0087400A" w:rsidRDefault="0087400A" w:rsidP="008740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4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019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AC6338F" w14:textId="00B4D9BB" w:rsidR="0087400A" w:rsidRPr="0087400A" w:rsidRDefault="0087400A" w:rsidP="008740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740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6ACE" w14:textId="3C8E4E63" w:rsidR="0087400A" w:rsidRPr="0087400A" w:rsidRDefault="0087400A" w:rsidP="0087400A">
    <w:pPr>
      <w:rPr>
        <w:sz w:val="14"/>
        <w:szCs w:val="14"/>
      </w:rPr>
    </w:pPr>
    <w:r w:rsidRPr="0087400A">
      <w:rPr>
        <w:sz w:val="14"/>
        <w:szCs w:val="14"/>
      </w:rPr>
      <w:t>The personal information collected through the Annual Operating Report</w:t>
    </w:r>
    <w:r w:rsidR="006F1C8E">
      <w:rPr>
        <w:sz w:val="14"/>
        <w:szCs w:val="14"/>
      </w:rPr>
      <w:t xml:space="preserve"> (AOR) Surface Materials Lease</w:t>
    </w:r>
    <w:r w:rsidRPr="0087400A">
      <w:rPr>
        <w:sz w:val="14"/>
        <w:szCs w:val="14"/>
      </w:rPr>
      <w:t xml:space="preserve"> is for the purpose of monitoring public land utilization in accordance with the </w:t>
    </w:r>
    <w:r w:rsidRPr="0087400A">
      <w:rPr>
        <w:i/>
        <w:iCs/>
        <w:sz w:val="14"/>
        <w:szCs w:val="14"/>
      </w:rPr>
      <w:t>Public Lands Act</w:t>
    </w:r>
    <w:r w:rsidRPr="0087400A">
      <w:rPr>
        <w:sz w:val="14"/>
        <w:szCs w:val="14"/>
      </w:rPr>
      <w:t xml:space="preserve">. This collection is authorized by section 33(c) of the </w:t>
    </w:r>
    <w:r w:rsidRPr="0087400A">
      <w:rPr>
        <w:i/>
        <w:iCs/>
        <w:sz w:val="14"/>
        <w:szCs w:val="14"/>
      </w:rPr>
      <w:t>Freedom of Information and Protection of Privacy Act</w:t>
    </w:r>
    <w:r w:rsidRPr="0087400A">
      <w:rPr>
        <w:sz w:val="14"/>
        <w:szCs w:val="14"/>
      </w:rPr>
      <w:t>. For questions about the collection of personal information, contact Public Lands Disposition Management, 5</w:t>
    </w:r>
    <w:r w:rsidRPr="0087400A">
      <w:rPr>
        <w:sz w:val="14"/>
        <w:szCs w:val="14"/>
        <w:vertAlign w:val="superscript"/>
      </w:rPr>
      <w:t>th</w:t>
    </w:r>
    <w:r w:rsidRPr="0087400A">
      <w:rPr>
        <w:sz w:val="14"/>
        <w:szCs w:val="14"/>
      </w:rPr>
      <w:t xml:space="preserve"> Floor, 9915-108 Street NW, Edmonton, Alberta, T5G 2G8, at 310-LANDS.</w:t>
    </w:r>
  </w:p>
  <w:p w14:paraId="40F2E035" w14:textId="7BF09BBF" w:rsidR="0027121C" w:rsidRPr="0027121C" w:rsidRDefault="0087400A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9DC33F5" wp14:editId="5EEC1840">
              <wp:simplePos x="685800" y="941416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9A069" w14:textId="4F6BE364" w:rsidR="0087400A" w:rsidRPr="0087400A" w:rsidRDefault="0087400A" w:rsidP="008740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4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C33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E59A069" w14:textId="4F6BE364" w:rsidR="0087400A" w:rsidRPr="0087400A" w:rsidRDefault="0087400A" w:rsidP="008740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740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F16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800" behindDoc="0" locked="0" layoutInCell="1" allowOverlap="1" wp14:anchorId="28591B3C" wp14:editId="6479E0C1">
          <wp:simplePos x="0" y="0"/>
          <wp:positionH relativeFrom="column">
            <wp:posOffset>5257800</wp:posOffset>
          </wp:positionH>
          <wp:positionV relativeFrom="page">
            <wp:posOffset>9403159</wp:posOffset>
          </wp:positionV>
          <wp:extent cx="1137920" cy="319882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19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Learn more about Annual Operating Reports I </w:t>
    </w:r>
    <w:hyperlink r:id="rId2" w:history="1">
      <w:r w:rsidRPr="0087400A">
        <w:rPr>
          <w:color w:val="0000FF"/>
          <w:u w:val="single"/>
        </w:rPr>
        <w:t>Surface materials | Alberta.ca</w:t>
      </w:r>
    </w:hyperlink>
  </w:p>
  <w:p w14:paraId="40901EBB" w14:textId="2D331A07" w:rsidR="005E6BEF" w:rsidRPr="008F283B" w:rsidRDefault="006F02A9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</w:t>
    </w:r>
    <w:r w:rsidR="0087400A">
      <w:rPr>
        <w:rFonts w:cs="HelveticaNeueLT Std Cn"/>
        <w:sz w:val="14"/>
        <w:szCs w:val="14"/>
      </w:rPr>
      <w:t>4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>|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667C6E">
      <w:rPr>
        <w:noProof/>
        <w:sz w:val="14"/>
        <w:szCs w:val="14"/>
      </w:rPr>
      <w:t>June 14, 2024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87400A">
      <w:rPr>
        <w:rFonts w:cs="HelveticaNeueLT Std Cn"/>
        <w:sz w:val="14"/>
        <w:szCs w:val="14"/>
      </w:rPr>
      <w:t>Forestry and Parks</w:t>
    </w:r>
  </w:p>
  <w:p w14:paraId="73F7BEBA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71AA" w14:textId="5935A96B" w:rsidR="00112BDA" w:rsidRPr="00162B41" w:rsidRDefault="0087400A" w:rsidP="00A22DB0">
    <w:pPr>
      <w:pStyle w:val="Calltoaction"/>
    </w:pPr>
    <w:r>
      <w:rPr>
        <w:noProof/>
        <w:lang w:val="en-CA" w:eastAsia="en-CA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AB154BF" wp14:editId="638F4B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D31C0" w14:textId="1C8A5571" w:rsidR="0087400A" w:rsidRPr="0087400A" w:rsidRDefault="0087400A" w:rsidP="008740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40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154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F9D31C0" w14:textId="1C8A5571" w:rsidR="0087400A" w:rsidRPr="0087400A" w:rsidRDefault="0087400A" w:rsidP="008740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740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2B41">
      <w:rPr>
        <w:noProof/>
        <w:lang w:val="en-CA" w:eastAsia="en-CA"/>
      </w:rPr>
      <w:drawing>
        <wp:anchor distT="0" distB="0" distL="114300" distR="114300" simplePos="0" relativeHeight="251653632" behindDoc="0" locked="0" layoutInCell="1" allowOverlap="1" wp14:anchorId="79783D00" wp14:editId="14C92BE7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4F755C66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F39C" w14:textId="77777777" w:rsidR="0087400A" w:rsidRPr="001522A5" w:rsidRDefault="0087400A" w:rsidP="00EB6203">
      <w:pPr>
        <w:pStyle w:val="Footer"/>
      </w:pPr>
      <w:r>
        <w:separator/>
      </w:r>
    </w:p>
  </w:footnote>
  <w:footnote w:type="continuationSeparator" w:id="0">
    <w:p w14:paraId="2C5AD831" w14:textId="77777777" w:rsidR="0087400A" w:rsidRDefault="0087400A" w:rsidP="00EB6203">
      <w:r>
        <w:continuationSeparator/>
      </w:r>
    </w:p>
  </w:footnote>
  <w:footnote w:type="continuationNotice" w:id="1">
    <w:p w14:paraId="7C9B551C" w14:textId="77777777" w:rsidR="0087400A" w:rsidRDefault="0087400A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833">
    <w:abstractNumId w:val="5"/>
  </w:num>
  <w:num w:numId="2" w16cid:durableId="1672948307">
    <w:abstractNumId w:val="1"/>
  </w:num>
  <w:num w:numId="3" w16cid:durableId="711420395">
    <w:abstractNumId w:val="5"/>
  </w:num>
  <w:num w:numId="4" w16cid:durableId="1153644882">
    <w:abstractNumId w:val="1"/>
  </w:num>
  <w:num w:numId="5" w16cid:durableId="1150096794">
    <w:abstractNumId w:val="0"/>
  </w:num>
  <w:num w:numId="6" w16cid:durableId="1527140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290091">
    <w:abstractNumId w:val="0"/>
  </w:num>
  <w:num w:numId="8" w16cid:durableId="1088843148">
    <w:abstractNumId w:val="0"/>
  </w:num>
  <w:num w:numId="9" w16cid:durableId="1821337799">
    <w:abstractNumId w:val="2"/>
  </w:num>
  <w:num w:numId="10" w16cid:durableId="997805768">
    <w:abstractNumId w:val="3"/>
  </w:num>
  <w:num w:numId="11" w16cid:durableId="1314332173">
    <w:abstractNumId w:val="6"/>
  </w:num>
  <w:num w:numId="12" w16cid:durableId="630550859">
    <w:abstractNumId w:val="7"/>
  </w:num>
  <w:num w:numId="13" w16cid:durableId="185946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0A"/>
    <w:rsid w:val="00010F65"/>
    <w:rsid w:val="00036FF5"/>
    <w:rsid w:val="00052C04"/>
    <w:rsid w:val="000A0261"/>
    <w:rsid w:val="000D6088"/>
    <w:rsid w:val="000F02D8"/>
    <w:rsid w:val="000F0D1F"/>
    <w:rsid w:val="00112BDA"/>
    <w:rsid w:val="00142AC6"/>
    <w:rsid w:val="001522A5"/>
    <w:rsid w:val="001550D4"/>
    <w:rsid w:val="00162B41"/>
    <w:rsid w:val="00163D00"/>
    <w:rsid w:val="001839D0"/>
    <w:rsid w:val="001A0B0D"/>
    <w:rsid w:val="001B7972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77C02"/>
    <w:rsid w:val="003B2194"/>
    <w:rsid w:val="003B4657"/>
    <w:rsid w:val="003C1E12"/>
    <w:rsid w:val="003C428D"/>
    <w:rsid w:val="003D6957"/>
    <w:rsid w:val="003E2363"/>
    <w:rsid w:val="00410643"/>
    <w:rsid w:val="0042060C"/>
    <w:rsid w:val="00455362"/>
    <w:rsid w:val="0047576F"/>
    <w:rsid w:val="004812B3"/>
    <w:rsid w:val="004839E3"/>
    <w:rsid w:val="00505CBE"/>
    <w:rsid w:val="00511501"/>
    <w:rsid w:val="00571728"/>
    <w:rsid w:val="00573982"/>
    <w:rsid w:val="0059240F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42568"/>
    <w:rsid w:val="00667C6E"/>
    <w:rsid w:val="006755D3"/>
    <w:rsid w:val="00695A9D"/>
    <w:rsid w:val="006D78D3"/>
    <w:rsid w:val="006E5BE4"/>
    <w:rsid w:val="006E6DD1"/>
    <w:rsid w:val="006F02A9"/>
    <w:rsid w:val="006F1C8E"/>
    <w:rsid w:val="007041FE"/>
    <w:rsid w:val="00743487"/>
    <w:rsid w:val="00767155"/>
    <w:rsid w:val="00782186"/>
    <w:rsid w:val="007E402A"/>
    <w:rsid w:val="007E6398"/>
    <w:rsid w:val="00806B31"/>
    <w:rsid w:val="0081777C"/>
    <w:rsid w:val="00835009"/>
    <w:rsid w:val="0083709E"/>
    <w:rsid w:val="00871BA3"/>
    <w:rsid w:val="0087400A"/>
    <w:rsid w:val="008838F6"/>
    <w:rsid w:val="008F157D"/>
    <w:rsid w:val="008F283B"/>
    <w:rsid w:val="00900919"/>
    <w:rsid w:val="00961255"/>
    <w:rsid w:val="009803F7"/>
    <w:rsid w:val="009B191B"/>
    <w:rsid w:val="009F4D8F"/>
    <w:rsid w:val="00A21C6B"/>
    <w:rsid w:val="00A22DB0"/>
    <w:rsid w:val="00A245F6"/>
    <w:rsid w:val="00A53F08"/>
    <w:rsid w:val="00A71F5B"/>
    <w:rsid w:val="00A771E1"/>
    <w:rsid w:val="00AC79EA"/>
    <w:rsid w:val="00B178E0"/>
    <w:rsid w:val="00B20BEC"/>
    <w:rsid w:val="00B86105"/>
    <w:rsid w:val="00BB6666"/>
    <w:rsid w:val="00BC2215"/>
    <w:rsid w:val="00BC441F"/>
    <w:rsid w:val="00BC67A6"/>
    <w:rsid w:val="00BD20F9"/>
    <w:rsid w:val="00BF0E62"/>
    <w:rsid w:val="00BF296D"/>
    <w:rsid w:val="00C31914"/>
    <w:rsid w:val="00C40991"/>
    <w:rsid w:val="00C647B3"/>
    <w:rsid w:val="00C73636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82F16"/>
    <w:rsid w:val="00DA3F03"/>
    <w:rsid w:val="00DD7F4C"/>
    <w:rsid w:val="00DE2B67"/>
    <w:rsid w:val="00E20638"/>
    <w:rsid w:val="00E21CBF"/>
    <w:rsid w:val="00E40A83"/>
    <w:rsid w:val="00E54670"/>
    <w:rsid w:val="00E71498"/>
    <w:rsid w:val="00E77962"/>
    <w:rsid w:val="00E833D0"/>
    <w:rsid w:val="00E92C71"/>
    <w:rsid w:val="00EB6203"/>
    <w:rsid w:val="00EC2E65"/>
    <w:rsid w:val="00EF17ED"/>
    <w:rsid w:val="00EF496C"/>
    <w:rsid w:val="00F2403C"/>
    <w:rsid w:val="00F37EE5"/>
    <w:rsid w:val="00F64268"/>
    <w:rsid w:val="00F855CC"/>
    <w:rsid w:val="00F86140"/>
    <w:rsid w:val="00FA58F5"/>
    <w:rsid w:val="00FE64E8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66A04"/>
  <w15:chartTrackingRefBased/>
  <w15:docId w15:val="{8CFCFC7B-AB6E-4993-8676-E9596A66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000000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000000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C73636"/>
    <w:pPr>
      <w:ind w:right="4668"/>
    </w:pPr>
    <w:rPr>
      <w:rFonts w:ascii="Arial" w:hAnsi="Arial"/>
      <w:sz w:val="28"/>
      <w:szCs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C73636"/>
    <w:rPr>
      <w:rFonts w:ascii="Arial" w:hAnsi="Arial" w:cs="HelveticaNeueLT Std Lt"/>
      <w:color w:val="000000"/>
      <w:sz w:val="28"/>
      <w:szCs w:val="28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surface-materials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bgov.sharepoint.com/sites/S600D04-OAL/CPEOfficeTemplates/Factsheet_oneColumn_template.dotx" TargetMode="External"/></Relationships>
</file>

<file path=word/theme/theme1.xml><?xml version="1.0" encoding="utf-8"?>
<a:theme xmlns:a="http://schemas.openxmlformats.org/drawingml/2006/main" name="GoA_Sky">
  <a:themeElements>
    <a:clrScheme name="GoA Sky">
      <a:dk1>
        <a:sysClr val="windowText" lastClr="000000"/>
      </a:dk1>
      <a:lt1>
        <a:sysClr val="window" lastClr="FFFFFF"/>
      </a:lt1>
      <a:dk2>
        <a:srgbClr val="6A737B"/>
      </a:dk2>
      <a:lt2>
        <a:srgbClr val="D1D4D3"/>
      </a:lt2>
      <a:accent1>
        <a:srgbClr val="00AAD2"/>
      </a:accent1>
      <a:accent2>
        <a:srgbClr val="005072"/>
      </a:accent2>
      <a:accent3>
        <a:srgbClr val="0081AB"/>
      </a:accent3>
      <a:accent4>
        <a:srgbClr val="5FCEEA"/>
      </a:accent4>
      <a:accent5>
        <a:srgbClr val="77B800"/>
      </a:accent5>
      <a:accent6>
        <a:srgbClr val="FF79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633974FB624495AA1AD9207C7339" ma:contentTypeVersion="10" ma:contentTypeDescription="Create a new document." ma:contentTypeScope="" ma:versionID="c1fc4a14f9eb3bed433af8de2428ecd4">
  <xsd:schema xmlns:xsd="http://www.w3.org/2001/XMLSchema" xmlns:xs="http://www.w3.org/2001/XMLSchema" xmlns:p="http://schemas.microsoft.com/office/2006/metadata/properties" xmlns:ns2="4e2f0227-cda8-45a5-ac26-2a13816409d6" xmlns:ns3="9b09e145-a55f-4d0e-b54e-9c442c5db34f" targetNamespace="http://schemas.microsoft.com/office/2006/metadata/properties" ma:root="true" ma:fieldsID="979d77e25973cc75610d4355f361861f" ns2:_="" ns3:_="">
    <xsd:import namespace="4e2f0227-cda8-45a5-ac26-2a13816409d6"/>
    <xsd:import namespace="9b09e145-a55f-4d0e-b54e-9c442c5db3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0227-cda8-45a5-ac26-2a1381640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d4714b4-759a-4cc0-97a8-044dc3687ed1}" ma:internalName="TaxCatchAll" ma:showField="CatchAllData" ma:web="4e2f0227-cda8-45a5-ac26-2a13816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e145-a55f-4d0e-b54e-9c442c5db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58cdee2-a078-4dcf-a938-a5ffeea6d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f0227-cda8-45a5-ac26-2a13816409d6" xsi:nil="true"/>
    <lcf76f155ced4ddcb4097134ff3c332f xmlns="9b09e145-a55f-4d0e-b54e-9c442c5db34f">
      <Terms xmlns="http://schemas.microsoft.com/office/infopath/2007/PartnerControls"/>
    </lcf76f155ced4ddcb4097134ff3c332f>
    <_dlc_DocId xmlns="4e2f0227-cda8-45a5-ac26-2a13816409d6">QT2WV444CWK2-55930238-18</_dlc_DocId>
    <_dlc_DocIdUrl xmlns="4e2f0227-cda8-45a5-ac26-2a13816409d6">
      <Url>https://abgov.sharepoint.com/sites/S600D04-OAL/_layouts/15/DocIdRedir.aspx?ID=QT2WV444CWK2-55930238-18</Url>
      <Description>QT2WV444CWK2-55930238-18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18111C-5A22-402C-8C3F-CBA52D51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f0227-cda8-45a5-ac26-2a13816409d6"/>
    <ds:schemaRef ds:uri="9b09e145-a55f-4d0e-b54e-9c442c5db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2479C-2064-4D05-85C1-DEE4D1F41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1473A-C067-4933-8FA2-EA5C8EC6AC54}">
  <ds:schemaRefs>
    <ds:schemaRef ds:uri="http://www.w3.org/XML/1998/namespace"/>
    <ds:schemaRef ds:uri="http://schemas.microsoft.com/office/2006/documentManagement/types"/>
    <ds:schemaRef ds:uri="9b09e145-a55f-4d0e-b54e-9c442c5db34f"/>
    <ds:schemaRef ds:uri="http://purl.org/dc/dcmitype/"/>
    <ds:schemaRef ds:uri="http://purl.org/dc/elements/1.1/"/>
    <ds:schemaRef ds:uri="http://schemas.openxmlformats.org/package/2006/metadata/core-properties"/>
    <ds:schemaRef ds:uri="4e2f0227-cda8-45a5-ac26-2a13816409d6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724D44-4702-4C59-81B7-31E8EBE24D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0CCE6F-BF66-4888-92B4-27D400916C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Factsheet_oneColumn_template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Annual Operating Report (AOR) Surface Materials Lease</vt:lpstr>
      <vt:lpstr/>
      <vt:lpstr/>
    </vt:vector>
  </TitlesOfParts>
  <Company>GoA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Operating Report (AOR) Surface Materials Lease</dc:title>
  <dc:subject/>
  <dc:creator>Government of Alberta</dc:creator>
  <cp:keywords>annual operating report, surface materials, royalties</cp:keywords>
  <dc:description/>
  <cp:lastModifiedBy>Pamela Hill</cp:lastModifiedBy>
  <cp:revision>6</cp:revision>
  <cp:lastPrinted>2020-03-13T14:13:00Z</cp:lastPrinted>
  <dcterms:created xsi:type="dcterms:W3CDTF">2024-06-14T15:56:00Z</dcterms:created>
  <dcterms:modified xsi:type="dcterms:W3CDTF">2024-06-14T21:00:00Z</dcterms:modified>
  <cp:category>Security Classification: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0x010100A8D1633974FB624495AA1AD9207C7339</vt:lpwstr>
  </property>
  <property fmtid="{D5CDD505-2E9C-101B-9397-08002B2CF9AE}" pid="3" name="_dlc_DocIdItemGuid">
    <vt:lpwstr>2f71c4c9-8ac0-45a0-a0a2-17be12525985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3,4,6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Public</vt:lpwstr>
  </property>
  <property fmtid="{D5CDD505-2E9C-101B-9397-08002B2CF9AE}" pid="8" name="MSIP_Label_60c3ebf9-3c2f-4745-a75f-55836bdb736f_Enabled">
    <vt:lpwstr>true</vt:lpwstr>
  </property>
  <property fmtid="{D5CDD505-2E9C-101B-9397-08002B2CF9AE}" pid="9" name="MSIP_Label_60c3ebf9-3c2f-4745-a75f-55836bdb736f_SetDate">
    <vt:lpwstr>2024-06-14T15:59:28Z</vt:lpwstr>
  </property>
  <property fmtid="{D5CDD505-2E9C-101B-9397-08002B2CF9AE}" pid="10" name="MSIP_Label_60c3ebf9-3c2f-4745-a75f-55836bdb736f_Method">
    <vt:lpwstr>Privileged</vt:lpwstr>
  </property>
  <property fmtid="{D5CDD505-2E9C-101B-9397-08002B2CF9AE}" pid="11" name="MSIP_Label_60c3ebf9-3c2f-4745-a75f-55836bdb736f_Name">
    <vt:lpwstr>Public</vt:lpwstr>
  </property>
  <property fmtid="{D5CDD505-2E9C-101B-9397-08002B2CF9AE}" pid="12" name="MSIP_Label_60c3ebf9-3c2f-4745-a75f-55836bdb736f_SiteId">
    <vt:lpwstr>2bb51c06-af9b-42c5-8bf5-3c3b7b10850b</vt:lpwstr>
  </property>
  <property fmtid="{D5CDD505-2E9C-101B-9397-08002B2CF9AE}" pid="13" name="MSIP_Label_60c3ebf9-3c2f-4745-a75f-55836bdb736f_ActionId">
    <vt:lpwstr>5ce524a8-3e57-4c6e-a6df-41deec58ea5d</vt:lpwstr>
  </property>
  <property fmtid="{D5CDD505-2E9C-101B-9397-08002B2CF9AE}" pid="14" name="MSIP_Label_60c3ebf9-3c2f-4745-a75f-55836bdb736f_ContentBits">
    <vt:lpwstr>2</vt:lpwstr>
  </property>
</Properties>
</file>