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6A9E8DE3" w:rsidR="0090155F" w:rsidRPr="0090155F" w:rsidRDefault="00B72F63" w:rsidP="005536A5">
      <w:pPr>
        <w:pStyle w:val="Heading-Pasture"/>
        <w:rPr>
          <w:rFonts w:ascii="HelveticaNeueLT Std" w:hAnsi="HelveticaNeueLT Std"/>
          <w:sz w:val="96"/>
          <w:szCs w:val="96"/>
        </w:rPr>
      </w:pPr>
      <w:r>
        <w:rPr>
          <w:sz w:val="86"/>
          <w:szCs w:val="86"/>
        </w:rPr>
        <w:t>AMD</w:t>
      </w:r>
      <w:r w:rsidR="00443E85">
        <w:rPr>
          <w:sz w:val="86"/>
          <w:szCs w:val="86"/>
        </w:rPr>
        <w:t xml:space="preserve">10 </w:t>
      </w:r>
      <w:r w:rsidR="00A276F9">
        <w:rPr>
          <w:sz w:val="86"/>
          <w:szCs w:val="86"/>
        </w:rPr>
        <w:t>S-30 Report</w:t>
      </w:r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38921" id="Straight Connector 1" o:spid="_x0000_s1026" style="position:absolute;z-index:251659264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default" r:id="rId11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2160"/>
        <w:gridCol w:w="3240"/>
        <w:gridCol w:w="3510"/>
      </w:tblGrid>
      <w:tr w:rsidR="00B15A2D" w:rsidRPr="00B15A2D" w14:paraId="0364A8AE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216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2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3510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0EFB1BF2" w:rsidR="004C6779" w:rsidRPr="00B15A2D" w:rsidRDefault="00387AD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Oct-0</w:t>
            </w:r>
            <w:r w:rsidR="002A2E7E">
              <w:rPr>
                <w:color w:val="45545F"/>
              </w:rPr>
              <w:t>3-2018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37170CE2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013248B6" w:rsidR="004C6779" w:rsidRPr="00B15A2D" w:rsidRDefault="001219C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0FAA4B80" w:rsidR="004C6779" w:rsidRPr="00B15A2D" w:rsidRDefault="001219C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Nov-20-2018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463DE46E" w:rsidR="004C6779" w:rsidRPr="00B15A2D" w:rsidRDefault="001219C2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F9876EC" w14:textId="6BDBF56E" w:rsidR="004C6779" w:rsidRPr="00B15A2D" w:rsidRDefault="001219C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namespace</w:t>
            </w:r>
          </w:p>
        </w:tc>
      </w:tr>
      <w:tr w:rsidR="00B15A2D" w:rsidRPr="00B15A2D" w14:paraId="002690F4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4A6DAFCC" w:rsidR="004C6779" w:rsidRPr="00B15A2D" w:rsidRDefault="00620934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420995F5" w:rsidR="004C6779" w:rsidRPr="00B15A2D" w:rsidRDefault="00620934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Nov-22-2018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4A223F2A" w:rsidR="004C6779" w:rsidRPr="00B15A2D" w:rsidRDefault="00620934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26D979E8" w14:textId="739FB750" w:rsidR="004C6779" w:rsidRPr="00B15A2D" w:rsidRDefault="00620934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based on IT testing</w:t>
            </w:r>
          </w:p>
        </w:tc>
      </w:tr>
      <w:tr w:rsidR="00664ECB" w:rsidRPr="00B15A2D" w14:paraId="61069205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B0AC5" w14:textId="6FF66114" w:rsidR="00664ECB" w:rsidRDefault="00664EC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9012F" w14:textId="0243B734" w:rsidR="00664ECB" w:rsidRDefault="00AA4B2C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</w:t>
            </w:r>
            <w:r w:rsidR="00387AD2">
              <w:rPr>
                <w:color w:val="45545F"/>
              </w:rPr>
              <w:t>0</w:t>
            </w:r>
            <w:r w:rsidR="00664ECB">
              <w:rPr>
                <w:color w:val="45545F"/>
              </w:rPr>
              <w:t>8-2018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3F24D7" w14:textId="7A9AE16B" w:rsidR="00664ECB" w:rsidRPr="00B15A2D" w:rsidRDefault="00664EC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2E7531DC" w14:textId="3A914ABA" w:rsidR="00664ECB" w:rsidRDefault="00664EC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B62868" w:rsidRPr="00B15A2D" w14:paraId="3EB92D47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FCB7F" w14:textId="48F6668A" w:rsidR="00B62868" w:rsidRDefault="00B62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E93F1" w14:textId="23CDC5F6" w:rsidR="00B62868" w:rsidRDefault="00B62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Dec-12-2018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1E3EFE" w14:textId="226CB176" w:rsidR="00B62868" w:rsidRDefault="00B62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0D638A31" w14:textId="32D81348" w:rsidR="00B62868" w:rsidRDefault="00B62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Added </w:t>
            </w:r>
            <w:proofErr w:type="spellStart"/>
            <w:r>
              <w:rPr>
                <w:color w:val="45545F"/>
              </w:rPr>
              <w:t>FacilityContactPhone</w:t>
            </w:r>
            <w:proofErr w:type="spellEnd"/>
            <w:r>
              <w:rPr>
                <w:color w:val="45545F"/>
              </w:rPr>
              <w:t xml:space="preserve"> to data dictionary</w:t>
            </w:r>
          </w:p>
        </w:tc>
      </w:tr>
      <w:tr w:rsidR="004E3670" w:rsidRPr="00B15A2D" w14:paraId="6543A8DC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B1F451" w14:textId="099FAACC" w:rsidR="004E3670" w:rsidRDefault="004E3670" w:rsidP="004E367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F6AFA7" w14:textId="58D559FB" w:rsidR="004E3670" w:rsidRDefault="004E3670" w:rsidP="004E367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Dec-18-2018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D668C" w14:textId="7B86900F" w:rsidR="004E3670" w:rsidRDefault="004E3670" w:rsidP="004E367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6F13CA45" w14:textId="38679D61" w:rsidR="004E3670" w:rsidRDefault="004E3670" w:rsidP="004E367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363F60" w:rsidRPr="00B15A2D" w14:paraId="0979D762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4DCF9A" w14:textId="2F3EB5B6" w:rsidR="00363F60" w:rsidRDefault="00363F60" w:rsidP="00363F6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23277" w14:textId="15F4A055" w:rsidR="00363F60" w:rsidRDefault="00AA4B2C" w:rsidP="00363F6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</w:t>
            </w:r>
            <w:r w:rsidR="00387AD2">
              <w:rPr>
                <w:color w:val="45545F"/>
              </w:rPr>
              <w:t>0</w:t>
            </w:r>
            <w:r w:rsidR="00363F60">
              <w:rPr>
                <w:color w:val="45545F"/>
              </w:rPr>
              <w:t>8-2019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6F22B" w14:textId="64771F04" w:rsidR="00363F60" w:rsidRDefault="00363F60" w:rsidP="00363F6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FB54DE4" w14:textId="2A8A3C1A" w:rsidR="00363F60" w:rsidRDefault="00363F60" w:rsidP="00363F60">
            <w:pPr>
              <w:spacing w:line="240" w:lineRule="auto"/>
              <w:rPr>
                <w:color w:val="45545F"/>
              </w:rPr>
            </w:pPr>
            <w:r w:rsidRPr="00BD289C">
              <w:rPr>
                <w:color w:val="45545F"/>
              </w:rPr>
              <w:t>Added schema version and embedded schema</w:t>
            </w:r>
          </w:p>
        </w:tc>
      </w:tr>
      <w:tr w:rsidR="00705854" w:rsidRPr="00B15A2D" w14:paraId="1ABC3EA1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0C9AD" w14:textId="7419EDE5" w:rsidR="00705854" w:rsidRDefault="00705854" w:rsidP="00363F6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1.6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15B74E" w14:textId="4686580E" w:rsidR="00705854" w:rsidRDefault="00B93B68" w:rsidP="00363F6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</w:t>
            </w:r>
            <w:r w:rsidR="00387AD2">
              <w:rPr>
                <w:color w:val="45545F"/>
              </w:rPr>
              <w:t>0</w:t>
            </w:r>
            <w:r>
              <w:rPr>
                <w:color w:val="45545F"/>
              </w:rPr>
              <w:t>6-2019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613CA" w14:textId="20073AFF" w:rsidR="00705854" w:rsidRDefault="00B93B68" w:rsidP="00363F6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07D1E7F4" w14:textId="2C7DE0BC" w:rsidR="00705854" w:rsidRPr="00BD289C" w:rsidRDefault="00B93B68" w:rsidP="00363F6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Added </w:t>
            </w:r>
            <w:r w:rsidR="00387AD2">
              <w:rPr>
                <w:color w:val="45545F"/>
              </w:rPr>
              <w:t xml:space="preserve">file </w:t>
            </w:r>
            <w:r>
              <w:rPr>
                <w:color w:val="45545F"/>
              </w:rPr>
              <w:t>naming convention to data dictionary</w:t>
            </w:r>
          </w:p>
        </w:tc>
      </w:tr>
      <w:tr w:rsidR="00403C61" w:rsidRPr="00B15A2D" w14:paraId="2C830DAD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7C906" w14:textId="38DD419C" w:rsidR="00403C61" w:rsidRDefault="00403C61" w:rsidP="00403C61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1.7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C7B98E" w14:textId="2A0A18CF" w:rsidR="00403C61" w:rsidRDefault="00403C61" w:rsidP="00403C61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Jan-28-2020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265646" w14:textId="374A4E53" w:rsidR="00403C61" w:rsidRDefault="00403C61" w:rsidP="00403C61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00C8A588" w14:textId="5065F0EA" w:rsidR="00403C61" w:rsidRDefault="00403C61" w:rsidP="00403C61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8A4564" w:rsidRPr="00B15A2D" w14:paraId="78EAE091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2D68EF" w14:textId="7BE284A0" w:rsidR="008A4564" w:rsidRDefault="008A4564" w:rsidP="008A456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1FA4CB" w14:textId="02ECF6EA" w:rsidR="008A4564" w:rsidRDefault="00B34782" w:rsidP="00B3478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</w:t>
            </w:r>
            <w:r w:rsidR="008A4564">
              <w:rPr>
                <w:color w:val="45545F"/>
              </w:rPr>
              <w:t>-</w:t>
            </w:r>
            <w:r>
              <w:rPr>
                <w:color w:val="45545F"/>
              </w:rPr>
              <w:t>20</w:t>
            </w:r>
            <w:r w:rsidR="008A4564">
              <w:rPr>
                <w:color w:val="45545F"/>
              </w:rPr>
              <w:t>-2023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01BEEA" w14:textId="32CBC3DF" w:rsidR="008A4564" w:rsidRDefault="004736CE" w:rsidP="008A456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0B05CF35" w14:textId="26C20264" w:rsidR="008A4564" w:rsidRDefault="008A4564" w:rsidP="008A456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</w:tbl>
    <w:p w14:paraId="629381AF" w14:textId="77777777" w:rsidR="004C6779" w:rsidRDefault="004C6779" w:rsidP="00E92984">
      <w:pPr>
        <w:pStyle w:val="Subheading-Primary"/>
        <w:spacing w:before="0"/>
      </w:pPr>
    </w:p>
    <w:p w14:paraId="57501EAD" w14:textId="3383F0EA" w:rsidR="00EF290F" w:rsidRDefault="00EF290F" w:rsidP="00EF290F">
      <w:r w:rsidRPr="00EF290F">
        <w:t>This document outlines the XML file format that is req</w:t>
      </w:r>
      <w:r w:rsidR="00F51231">
        <w:t>ui</w:t>
      </w:r>
      <w:r w:rsidR="00443E85">
        <w:t xml:space="preserve">red for the submission of AMD10 </w:t>
      </w:r>
      <w:r w:rsidR="00F51231">
        <w:t>S-30 Report</w:t>
      </w:r>
      <w:r w:rsidR="00443E85">
        <w:t>.</w:t>
      </w:r>
      <w:r w:rsidRPr="00EF290F">
        <w:t xml:space="preserve"> </w:t>
      </w:r>
    </w:p>
    <w:p w14:paraId="50C64BB6" w14:textId="77777777" w:rsidR="00B15A2D" w:rsidRDefault="00B15A2D" w:rsidP="00B15A2D"/>
    <w:p w14:paraId="62536579" w14:textId="77777777" w:rsidR="00B15A2D" w:rsidRDefault="00B15A2D" w:rsidP="00B15A2D">
      <w:pPr>
        <w:rPr>
          <w:lang w:val="en-CA"/>
        </w:rPr>
      </w:pPr>
      <w:r w:rsidRPr="00B15A2D">
        <w:t xml:space="preserve">Please note that the possible values for some of the </w:t>
      </w:r>
      <w:hyperlink r:id="rId12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3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2CF4DAC2" w14:textId="77777777" w:rsidR="00B93B68" w:rsidRDefault="00B93B68" w:rsidP="00055574">
      <w:pPr>
        <w:pStyle w:val="Subheading-Primary"/>
      </w:pPr>
    </w:p>
    <w:p w14:paraId="26048712" w14:textId="77777777" w:rsidR="004736CE" w:rsidRDefault="004736CE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cs="Arial"/>
          <w:color w:val="00AAD2" w:themeColor="accent3"/>
          <w:sz w:val="32"/>
          <w:szCs w:val="36"/>
        </w:rPr>
      </w:pPr>
      <w:r>
        <w:br w:type="page"/>
      </w:r>
    </w:p>
    <w:p w14:paraId="13604A88" w14:textId="715A087D" w:rsidR="00177D1E" w:rsidRDefault="00177D1E" w:rsidP="00177D1E">
      <w:pPr>
        <w:pStyle w:val="Subheading-Primary"/>
      </w:pPr>
      <w:r w:rsidRPr="00B15A2D">
        <w:lastRenderedPageBreak/>
        <w:t>XML Schema</w:t>
      </w:r>
    </w:p>
    <w:p w14:paraId="7017F156" w14:textId="5870E910" w:rsidR="00177D1E" w:rsidRPr="00177D1E" w:rsidRDefault="00177D1E" w:rsidP="00177D1E">
      <w:pPr>
        <w:suppressAutoHyphens w:val="0"/>
        <w:spacing w:line="240" w:lineRule="auto"/>
        <w:textAlignment w:val="auto"/>
      </w:pPr>
      <w:r w:rsidRPr="00177D1E">
        <w:t xml:space="preserve">See attached: </w:t>
      </w:r>
    </w:p>
    <w:p w14:paraId="61925757" w14:textId="3EA33A7F" w:rsidR="00177D1E" w:rsidRDefault="00177D1E" w:rsidP="00177D1E">
      <w:pPr>
        <w:suppressAutoHyphens w:val="0"/>
        <w:spacing w:line="240" w:lineRule="auto"/>
        <w:textAlignment w:val="auto"/>
        <w:rPr>
          <w:rFonts w:ascii="Consolas" w:hAnsi="Consolas" w:cs="Consolas"/>
          <w:color w:val="000000"/>
          <w:sz w:val="19"/>
          <w:szCs w:val="19"/>
          <w:lang w:val="en-CA"/>
        </w:rPr>
      </w:pPr>
    </w:p>
    <w:p w14:paraId="1707ECEF" w14:textId="0DCA4956" w:rsidR="00B34782" w:rsidRDefault="001371B8" w:rsidP="00177D1E">
      <w:pPr>
        <w:suppressAutoHyphens w:val="0"/>
        <w:spacing w:line="240" w:lineRule="auto"/>
        <w:textAlignment w:val="auto"/>
        <w:rPr>
          <w:rFonts w:ascii="Consolas" w:hAnsi="Consolas" w:cs="Consolas"/>
          <w:color w:val="000000"/>
          <w:sz w:val="19"/>
          <w:szCs w:val="19"/>
          <w:lang w:val="en-CA"/>
        </w:rPr>
      </w:pPr>
      <w:r>
        <w:object w:dxaOrig="1517" w:dyaOrig="987" w14:anchorId="246C3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4" o:title=""/>
          </v:shape>
          <o:OLEObject Type="Embed" ProgID="Package" ShapeID="_x0000_i1025" DrawAspect="Icon" ObjectID="_1824529896" r:id="rId15"/>
        </w:object>
      </w:r>
    </w:p>
    <w:p w14:paraId="50F02A82" w14:textId="77777777" w:rsidR="00403C61" w:rsidRDefault="00403C61" w:rsidP="00403C61">
      <w:pPr>
        <w:pStyle w:val="Subheading-Primary"/>
      </w:pPr>
      <w:r>
        <w:t>File Naming Convention</w:t>
      </w:r>
    </w:p>
    <w:p w14:paraId="289B92CC" w14:textId="77777777" w:rsidR="00403C61" w:rsidRDefault="00403C61" w:rsidP="00403C61">
      <w:pPr>
        <w:suppressAutoHyphens w:val="0"/>
        <w:autoSpaceDE/>
        <w:autoSpaceDN/>
        <w:adjustRightInd/>
        <w:spacing w:line="276" w:lineRule="auto"/>
        <w:textAlignment w:val="auto"/>
      </w:pPr>
      <w:r>
        <w:t>Refer to required file naming conventions on the Air Monitoring Directive website:</w:t>
      </w:r>
    </w:p>
    <w:p w14:paraId="735B6037" w14:textId="246B6062" w:rsidR="00403C61" w:rsidRDefault="00403C61" w:rsidP="00403C61">
      <w:pPr>
        <w:suppressAutoHyphens w:val="0"/>
        <w:autoSpaceDE/>
        <w:autoSpaceDN/>
        <w:adjustRightInd/>
        <w:spacing w:line="276" w:lineRule="auto"/>
        <w:textAlignment w:val="auto"/>
      </w:pPr>
      <w:hyperlink r:id="rId16" w:history="1">
        <w:r w:rsidRPr="00344D4C">
          <w:rPr>
            <w:rStyle w:val="Hyperlink"/>
          </w:rPr>
          <w:t>EPEA Approval Industrial Monitoring Documentation Submission Naming Guideline</w:t>
        </w:r>
      </w:hyperlink>
    </w:p>
    <w:p w14:paraId="13872275" w14:textId="77777777" w:rsidR="00403C61" w:rsidRDefault="00403C61" w:rsidP="00403C61">
      <w:pPr>
        <w:suppressAutoHyphens w:val="0"/>
        <w:autoSpaceDE/>
        <w:autoSpaceDN/>
        <w:adjustRightInd/>
        <w:spacing w:line="240" w:lineRule="auto"/>
        <w:textAlignment w:val="auto"/>
      </w:pPr>
    </w:p>
    <w:p w14:paraId="05A496F9" w14:textId="595A7029" w:rsidR="00E4764F" w:rsidRDefault="00B15A2D" w:rsidP="00D53D28">
      <w:pPr>
        <w:pStyle w:val="Subheading-Primary"/>
      </w:pPr>
      <w:r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55"/>
        <w:gridCol w:w="3261"/>
        <w:gridCol w:w="1149"/>
      </w:tblGrid>
      <w:tr w:rsidR="00085D1A" w:rsidRPr="00B15A2D" w14:paraId="019FDE74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3261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149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085D1A" w:rsidRPr="00085D1A" w14:paraId="443F96C9" w14:textId="77777777" w:rsidTr="00403C61">
        <w:trPr>
          <w:trHeight w:val="451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2137613" w:rsidR="00085D1A" w:rsidRPr="00085D1A" w:rsidRDefault="00FC0236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Ep</w:t>
            </w:r>
            <w:r w:rsidRPr="00FC0236">
              <w:rPr>
                <w:rFonts w:cs="Arial"/>
                <w:color w:val="45545F"/>
                <w:lang w:bidi="pa-IN"/>
              </w:rPr>
              <w:t>eaApproval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39DB1CF0" w:rsidR="00085D1A" w:rsidRPr="00085D1A" w:rsidRDefault="00C6268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6268E">
              <w:rPr>
                <w:rFonts w:cs="Arial"/>
                <w:color w:val="45545F"/>
                <w:lang w:bidi="pa-IN"/>
              </w:rPr>
              <w:t>EPEA approval number (8 digits)</w:t>
            </w:r>
          </w:p>
        </w:tc>
        <w:tc>
          <w:tcPr>
            <w:tcW w:w="1149" w:type="dxa"/>
          </w:tcPr>
          <w:p w14:paraId="228ADCA6" w14:textId="3B522E9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74775F42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323E1374" w:rsidR="00085D1A" w:rsidRPr="00085D1A" w:rsidRDefault="007348A0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7348A0">
              <w:rPr>
                <w:rFonts w:cs="Arial"/>
                <w:color w:val="45545F"/>
                <w:lang w:bidi="pa-IN"/>
              </w:rPr>
              <w:t>CompanyName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298DFDB5" w:rsidR="00085D1A" w:rsidRPr="00085D1A" w:rsidRDefault="00E678E4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</w:t>
            </w:r>
            <w:r w:rsidR="007348A0" w:rsidRPr="007348A0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6D9B28C1" w14:textId="4AE605B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21BAAE3A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5D97" w14:textId="34047BC1" w:rsidR="00085D1A" w:rsidRPr="00085D1A" w:rsidRDefault="003A5E9A" w:rsidP="003A5E9A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3A5E9A">
              <w:rPr>
                <w:rFonts w:cs="Arial"/>
                <w:color w:val="45545F"/>
                <w:lang w:bidi="pa-IN"/>
              </w:rPr>
              <w:t>FacilityName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073DB" w14:textId="69FBA462" w:rsidR="00085D1A" w:rsidRPr="00085D1A" w:rsidRDefault="00E678E4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="003A5E9A" w:rsidRPr="003A5E9A">
              <w:rPr>
                <w:rFonts w:cs="Arial"/>
                <w:color w:val="45545F"/>
                <w:lang w:bidi="pa-IN"/>
              </w:rPr>
              <w:t>acility</w:t>
            </w:r>
          </w:p>
        </w:tc>
        <w:tc>
          <w:tcPr>
            <w:tcW w:w="1149" w:type="dxa"/>
          </w:tcPr>
          <w:p w14:paraId="3E997F7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9533A" w:rsidRPr="00085D1A" w14:paraId="7E5DF904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A55A4" w14:textId="2BC9313E" w:rsidR="0039533A" w:rsidRPr="003A5E9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AerId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46799" w14:textId="6072DC88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 ID</w:t>
            </w:r>
          </w:p>
        </w:tc>
        <w:tc>
          <w:tcPr>
            <w:tcW w:w="1149" w:type="dxa"/>
          </w:tcPr>
          <w:p w14:paraId="4E07052A" w14:textId="31833269" w:rsidR="0039533A" w:rsidRPr="00085D1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2FC63184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17D52" w14:textId="0EE89922" w:rsidR="0039533A" w:rsidRPr="003A5E9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26065">
              <w:rPr>
                <w:rFonts w:cs="Arial"/>
                <w:color w:val="45545F"/>
                <w:lang w:bidi="pa-IN"/>
              </w:rPr>
              <w:t>FacilityContactName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162AC" w14:textId="41587857" w:rsidR="0039533A" w:rsidRPr="003A5E9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facility c</w:t>
            </w:r>
            <w:r w:rsidRPr="000D5DE0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33431695" w14:textId="0869C024" w:rsidR="0039533A" w:rsidRPr="00085D1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4341E9" w:rsidRPr="00085D1A" w14:paraId="1CCA0812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DA0AD" w14:textId="5C64E31E" w:rsidR="004341E9" w:rsidRPr="00C26065" w:rsidRDefault="004341E9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FacilityContactPhone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9F513" w14:textId="2EB5A927" w:rsidR="004341E9" w:rsidRDefault="004341E9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Phone number of the facility contact</w:t>
            </w:r>
          </w:p>
        </w:tc>
        <w:tc>
          <w:tcPr>
            <w:tcW w:w="1149" w:type="dxa"/>
          </w:tcPr>
          <w:p w14:paraId="21CBA6C8" w14:textId="27FCBE2A" w:rsidR="004341E9" w:rsidRDefault="004341E9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9533A" w:rsidRPr="00085D1A" w14:paraId="6D721D61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8E90DD" w14:textId="65301CC2" w:rsidR="0039533A" w:rsidRPr="00C26065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046FCE">
              <w:rPr>
                <w:rFonts w:cs="Arial"/>
                <w:color w:val="45545F"/>
                <w:lang w:bidi="pa-IN"/>
              </w:rPr>
              <w:t>FacilityContactEmail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827C1" w14:textId="1842164A" w:rsidR="0039533A" w:rsidRPr="000D5DE0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facility c</w:t>
            </w:r>
            <w:r w:rsidRPr="00046FCE">
              <w:rPr>
                <w:rFonts w:cs="Arial"/>
                <w:color w:val="45545F"/>
                <w:lang w:bidi="pa-IN"/>
              </w:rPr>
              <w:t xml:space="preserve">ontact in </w:t>
            </w:r>
            <w:hyperlink r:id="rId17" w:history="1">
              <w:r w:rsidRPr="00046FCE">
                <w:rPr>
                  <w:rFonts w:cs="Arial"/>
                  <w:color w:val="45545F"/>
                </w:rPr>
                <w:t>abc@xyz.com</w:t>
              </w:r>
            </w:hyperlink>
            <w:r w:rsidRPr="00046FCE">
              <w:rPr>
                <w:rFonts w:cs="Arial"/>
                <w:color w:val="45545F"/>
                <w:lang w:bidi="pa-IN"/>
              </w:rPr>
              <w:t xml:space="preserve"> format</w:t>
            </w:r>
          </w:p>
        </w:tc>
        <w:tc>
          <w:tcPr>
            <w:tcW w:w="1149" w:type="dxa"/>
          </w:tcPr>
          <w:p w14:paraId="0CF9FD2B" w14:textId="30710895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9533A" w:rsidRPr="00085D1A" w14:paraId="38D05F80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DE0BF" w14:textId="51927E69" w:rsidR="0039533A" w:rsidRPr="00046FCE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361EB">
              <w:rPr>
                <w:rFonts w:cs="Arial"/>
                <w:color w:val="45545F"/>
                <w:lang w:bidi="pa-IN"/>
              </w:rPr>
              <w:t>ContractorCompany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3CA18" w14:textId="5BD135AC" w:rsidR="0039533A" w:rsidRPr="00046FCE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company</w:t>
            </w:r>
          </w:p>
        </w:tc>
        <w:tc>
          <w:tcPr>
            <w:tcW w:w="1149" w:type="dxa"/>
          </w:tcPr>
          <w:p w14:paraId="25CCB1DE" w14:textId="0250EF62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39533A" w:rsidRPr="00085D1A" w14:paraId="50B18F2C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6368C" w14:textId="1FAB3CDE" w:rsidR="0039533A" w:rsidRPr="002361EB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9E1C0F">
              <w:rPr>
                <w:rFonts w:cs="Arial"/>
                <w:color w:val="45545F"/>
                <w:lang w:bidi="pa-IN"/>
              </w:rPr>
              <w:t>ContractorContactName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7FE3" w14:textId="69E5E456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Contact name of the contractor c</w:t>
            </w:r>
            <w:r w:rsidRPr="0010445E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30A1F7F0" w14:textId="05B0DE55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39533A" w:rsidRPr="00085D1A" w14:paraId="2664C661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0922F" w14:textId="3A676890" w:rsidR="0039533A" w:rsidRPr="009E1C0F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163675">
              <w:rPr>
                <w:rFonts w:cs="Arial"/>
                <w:color w:val="45545F"/>
                <w:lang w:bidi="pa-IN"/>
              </w:rPr>
              <w:t>ContractorContactEmail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4E578" w14:textId="4C10508B" w:rsidR="0039533A" w:rsidRPr="0010445E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c</w:t>
            </w:r>
            <w:r w:rsidRPr="00163675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5EC428F9" w14:textId="6B97DB35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39533A" w:rsidRPr="00085D1A" w14:paraId="359C6A47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EE69C" w14:textId="7DCC537C" w:rsidR="0039533A" w:rsidRPr="003A5E9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Year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1D7B9" w14:textId="05FC2E44" w:rsidR="0039533A" w:rsidRPr="003A5E9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43083E">
              <w:rPr>
                <w:rFonts w:cs="Arial"/>
                <w:color w:val="45545F"/>
                <w:lang w:bidi="pa-IN"/>
              </w:rPr>
              <w:t>Year in YYYY format</w:t>
            </w:r>
          </w:p>
        </w:tc>
        <w:tc>
          <w:tcPr>
            <w:tcW w:w="1149" w:type="dxa"/>
          </w:tcPr>
          <w:p w14:paraId="737DA128" w14:textId="53DFBA3D" w:rsidR="0039533A" w:rsidRPr="00085D1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9533A" w:rsidRPr="00085D1A" w14:paraId="784B0658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8AAFE" w14:textId="75400623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97593">
              <w:rPr>
                <w:rFonts w:cs="Arial"/>
                <w:color w:val="45545F"/>
                <w:lang w:bidi="pa-IN"/>
              </w:rPr>
              <w:t>Quarter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C4D3FA" w14:textId="34387563" w:rsidR="0039533A" w:rsidRPr="0043083E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 number as Q1, Q2, Q3, Q4</w:t>
            </w:r>
          </w:p>
        </w:tc>
        <w:tc>
          <w:tcPr>
            <w:tcW w:w="1149" w:type="dxa"/>
          </w:tcPr>
          <w:p w14:paraId="0A04E17C" w14:textId="74FC166D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5C533F93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1586F" w14:textId="22E2469F" w:rsidR="0039533A" w:rsidRPr="00C97593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Monthly 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A8A31" w14:textId="7D3F5ACD" w:rsidR="0039533A" w:rsidRPr="00C97593" w:rsidRDefault="0039533A" w:rsidP="00A2172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Monthly data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collection :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Month1</w:t>
            </w:r>
          </w:p>
        </w:tc>
        <w:tc>
          <w:tcPr>
            <w:tcW w:w="1149" w:type="dxa"/>
          </w:tcPr>
          <w:p w14:paraId="7FF45AFB" w14:textId="0D90F4AF" w:rsidR="0039533A" w:rsidRPr="00C97593" w:rsidRDefault="001419D3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68450F1D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18D66" w14:textId="29D046F5" w:rsidR="0039533A" w:rsidRDefault="0039533A" w:rsidP="0039533A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BD74FB">
              <w:rPr>
                <w:rFonts w:cs="Arial"/>
                <w:color w:val="45545F"/>
                <w:lang w:bidi="pa-IN"/>
              </w:rPr>
              <w:t>Month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3EF1A8" w14:textId="330F78E4" w:rsidR="0039533A" w:rsidRDefault="0039533A" w:rsidP="0039533A">
            <w:pPr>
              <w:spacing w:line="240" w:lineRule="auto"/>
            </w:pPr>
            <w:r w:rsidRPr="00BD74FB">
              <w:rPr>
                <w:rFonts w:cs="Arial"/>
                <w:color w:val="45545F"/>
                <w:lang w:bidi="pa-IN"/>
              </w:rPr>
              <w:t xml:space="preserve">Name of the </w:t>
            </w:r>
            <w:proofErr w:type="spellStart"/>
            <w:r>
              <w:rPr>
                <w:rFonts w:cs="Arial"/>
                <w:color w:val="45545F"/>
                <w:lang w:bidi="pa-IN"/>
              </w:rPr>
              <w:t>reporing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month;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January</w:t>
            </w:r>
          </w:p>
          <w:p w14:paraId="258A6530" w14:textId="5D4F0856" w:rsidR="0039533A" w:rsidRPr="003F433C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4958A1D4" w14:textId="5BA6530E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9533A" w:rsidRPr="00085D1A" w14:paraId="5048C68C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BD51" w14:textId="656808D8" w:rsidR="0039533A" w:rsidRDefault="0039533A" w:rsidP="0039533A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C82CC0">
              <w:rPr>
                <w:rFonts w:cs="Arial"/>
                <w:color w:val="45545F"/>
                <w:lang w:bidi="pa-IN"/>
              </w:rPr>
              <w:lastRenderedPageBreak/>
              <w:t>MonthlyMeasurementPercentDifference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C9D3B9" w14:textId="33ED6024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Monthly measurement percent </w:t>
            </w:r>
            <w:proofErr w:type="gramStart"/>
            <w:r>
              <w:rPr>
                <w:rFonts w:cs="Arial"/>
                <w:color w:val="45545F"/>
                <w:lang w:bidi="pa-IN"/>
              </w:rPr>
              <w:t>difference;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953F7A">
              <w:rPr>
                <w:rFonts w:cs="Arial"/>
                <w:color w:val="45545F"/>
                <w:lang w:bidi="pa-IN"/>
              </w:rPr>
              <w:t>3 (for 3%).</w:t>
            </w:r>
          </w:p>
          <w:p w14:paraId="468387EB" w14:textId="7124DDB3" w:rsidR="00D117A0" w:rsidRDefault="00D117A0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A5DA2">
              <w:rPr>
                <w:rFonts w:cs="Arial"/>
                <w:color w:val="45545F"/>
                <w:lang w:bidi="pa-IN"/>
              </w:rPr>
              <w:t xml:space="preserve">Monthly measurement difference (%) = [Monthly </w:t>
            </w:r>
            <w:proofErr w:type="spellStart"/>
            <w:r w:rsidRPr="00DA5DA2"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 w:rsidRPr="00DA5DA2">
              <w:rPr>
                <w:rFonts w:cs="Arial"/>
                <w:color w:val="45545F"/>
                <w:lang w:bidi="pa-IN"/>
              </w:rPr>
              <w:t xml:space="preserve"> in (t) – Monthly </w:t>
            </w:r>
            <w:proofErr w:type="spellStart"/>
            <w:r w:rsidRPr="00DA5DA2"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 w:rsidRPr="00DA5DA2">
              <w:rPr>
                <w:rFonts w:cs="Arial"/>
                <w:color w:val="45545F"/>
                <w:lang w:bidi="pa-IN"/>
              </w:rPr>
              <w:t xml:space="preserve"> out total (t)] ÷ Monthly </w:t>
            </w:r>
            <w:proofErr w:type="spellStart"/>
            <w:r w:rsidRPr="00DA5DA2"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 w:rsidRPr="00DA5DA2">
              <w:rPr>
                <w:rFonts w:cs="Arial"/>
                <w:color w:val="45545F"/>
                <w:lang w:bidi="pa-IN"/>
              </w:rPr>
              <w:t xml:space="preserve"> in (t)</w:t>
            </w:r>
            <w:r w:rsidR="0020616E">
              <w:rPr>
                <w:rFonts w:cs="Arial"/>
                <w:color w:val="45545F"/>
                <w:lang w:bidi="pa-IN"/>
              </w:rPr>
              <w:t xml:space="preserve"> *100</w:t>
            </w:r>
          </w:p>
        </w:tc>
        <w:tc>
          <w:tcPr>
            <w:tcW w:w="1149" w:type="dxa"/>
          </w:tcPr>
          <w:p w14:paraId="3F0224C1" w14:textId="28DC4CB0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9533A" w:rsidRPr="00085D1A" w14:paraId="51010F0F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3346B" w14:textId="7B0630E4" w:rsidR="0039533A" w:rsidRDefault="0039533A" w:rsidP="0039533A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C82CC0">
              <w:rPr>
                <w:rFonts w:cs="Arial"/>
                <w:color w:val="45545F"/>
                <w:lang w:bidi="pa-IN"/>
              </w:rPr>
              <w:t>SulphurInApprovedMaxDailyPlantFeedstockVolume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6EEEF2" w14:textId="7B4E5506" w:rsidR="0039533A" w:rsidRDefault="00744920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</w:t>
            </w:r>
            <w:r w:rsidRPr="00D14D16">
              <w:rPr>
                <w:rFonts w:cs="Arial"/>
                <w:color w:val="45545F"/>
                <w:lang w:bidi="pa-IN"/>
              </w:rPr>
              <w:t>he approved maximum volume of plant feedstock (raw gas plus gas equivalent of inlet condensate), as stated in the approval or the most recent application approved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r w:rsidRPr="00D14D16">
              <w:rPr>
                <w:rFonts w:cs="Arial"/>
                <w:color w:val="45545F"/>
                <w:lang w:bidi="pa-IN"/>
              </w:rPr>
              <w:t>in 10</w:t>
            </w:r>
            <w:r w:rsidRPr="00D14D16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D14D16">
              <w:rPr>
                <w:rFonts w:cs="Arial"/>
                <w:color w:val="45545F"/>
                <w:lang w:bidi="pa-IN"/>
              </w:rPr>
              <w:t xml:space="preserve"> m</w:t>
            </w:r>
            <w:r w:rsidRPr="00D14D16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D14D16">
              <w:rPr>
                <w:rFonts w:cs="Arial"/>
                <w:color w:val="45545F"/>
                <w:lang w:bidi="pa-IN"/>
              </w:rPr>
              <w:t xml:space="preserve"> to 1 decimal </w:t>
            </w:r>
            <w:proofErr w:type="gramStart"/>
            <w:r w:rsidRPr="00D14D16">
              <w:rPr>
                <w:rFonts w:cs="Arial"/>
                <w:color w:val="45545F"/>
                <w:lang w:bidi="pa-IN"/>
              </w:rPr>
              <w:t>place</w:t>
            </w:r>
            <w:r>
              <w:rPr>
                <w:rFonts w:cs="Arial"/>
                <w:color w:val="45545F"/>
                <w:lang w:bidi="pa-IN"/>
              </w:rPr>
              <w:t>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625</w:t>
            </w:r>
            <w:r w:rsidR="00B20AE4">
              <w:rPr>
                <w:rFonts w:cs="Arial"/>
                <w:color w:val="45545F"/>
                <w:lang w:bidi="pa-IN"/>
              </w:rPr>
              <w:t>.00</w:t>
            </w:r>
          </w:p>
        </w:tc>
        <w:tc>
          <w:tcPr>
            <w:tcW w:w="1149" w:type="dxa"/>
          </w:tcPr>
          <w:p w14:paraId="3CD1A057" w14:textId="025896AF" w:rsidR="0039533A" w:rsidRDefault="00C27A68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61065B01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30F85" w14:textId="44AD7498" w:rsidR="0039533A" w:rsidRPr="00C82CC0" w:rsidRDefault="0039533A" w:rsidP="0039533A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E8633A">
              <w:rPr>
                <w:rFonts w:cs="Arial"/>
                <w:color w:val="45545F"/>
                <w:lang w:bidi="pa-IN"/>
              </w:rPr>
              <w:t>SulphurInApprovedMaxDailyInlet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74BCA" w14:textId="0CD5E99B" w:rsidR="0039533A" w:rsidRDefault="003779C8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</w:t>
            </w:r>
            <w:r w:rsidRPr="00354E32">
              <w:rPr>
                <w:rFonts w:cs="Arial"/>
                <w:color w:val="45545F"/>
                <w:lang w:bidi="pa-IN"/>
              </w:rPr>
              <w:t xml:space="preserve">he approved maximum </w:t>
            </w:r>
            <w:r>
              <w:rPr>
                <w:rFonts w:cs="Arial"/>
                <w:color w:val="45545F"/>
                <w:lang w:bidi="pa-IN"/>
              </w:rPr>
              <w:t xml:space="preserve">daily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 w:rsidRPr="00354E32">
              <w:rPr>
                <w:rFonts w:cs="Arial"/>
                <w:color w:val="45545F"/>
                <w:lang w:bidi="pa-IN"/>
              </w:rPr>
              <w:t xml:space="preserve"> inlet in </w:t>
            </w:r>
            <w:proofErr w:type="spellStart"/>
            <w:r w:rsidRPr="00354E32">
              <w:rPr>
                <w:rFonts w:cs="Arial"/>
                <w:color w:val="45545F"/>
                <w:lang w:bidi="pa-IN"/>
              </w:rPr>
              <w:t>tonnes</w:t>
            </w:r>
            <w:proofErr w:type="spellEnd"/>
            <w:r w:rsidRPr="00354E32">
              <w:rPr>
                <w:rFonts w:cs="Arial"/>
                <w:color w:val="45545F"/>
                <w:lang w:bidi="pa-IN"/>
              </w:rPr>
              <w:t xml:space="preserve"> to 1 decimal place, as stated in the approval or the most recent application </w:t>
            </w:r>
            <w:proofErr w:type="gramStart"/>
            <w:r w:rsidRPr="00354E32">
              <w:rPr>
                <w:rFonts w:cs="Arial"/>
                <w:color w:val="45545F"/>
                <w:lang w:bidi="pa-IN"/>
              </w:rPr>
              <w:t>approved</w:t>
            </w:r>
            <w:r w:rsidR="0039533A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39533A">
              <w:rPr>
                <w:rFonts w:cs="Arial"/>
                <w:color w:val="45545F"/>
                <w:lang w:bidi="pa-IN"/>
              </w:rPr>
              <w:t xml:space="preserve"> e.g., 9.00 </w:t>
            </w:r>
          </w:p>
        </w:tc>
        <w:tc>
          <w:tcPr>
            <w:tcW w:w="1149" w:type="dxa"/>
          </w:tcPr>
          <w:p w14:paraId="52A3627E" w14:textId="7C676D81" w:rsidR="0039533A" w:rsidRDefault="00C27A68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518FF413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62AD38" w14:textId="5B864CC2" w:rsidR="0039533A" w:rsidRPr="00C82CC0" w:rsidRDefault="0039533A" w:rsidP="0039533A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E8633A">
              <w:rPr>
                <w:rFonts w:cs="Arial"/>
                <w:color w:val="45545F"/>
                <w:lang w:bidi="pa-IN"/>
              </w:rPr>
              <w:t>SulphurRecoveryEfficiencyMinApproved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C457E" w14:textId="2B62F431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Minimum approved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recovery </w:t>
            </w:r>
            <w:proofErr w:type="gramStart"/>
            <w:r>
              <w:rPr>
                <w:rFonts w:cs="Arial"/>
                <w:color w:val="45545F"/>
                <w:lang w:bidi="pa-IN"/>
              </w:rPr>
              <w:t>efficiency;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70</w:t>
            </w:r>
            <w:r w:rsidR="003A6CF0">
              <w:rPr>
                <w:rFonts w:cs="Arial"/>
                <w:color w:val="45545F"/>
                <w:lang w:bidi="pa-IN"/>
              </w:rPr>
              <w:t>.15</w:t>
            </w:r>
          </w:p>
        </w:tc>
        <w:tc>
          <w:tcPr>
            <w:tcW w:w="1149" w:type="dxa"/>
          </w:tcPr>
          <w:p w14:paraId="4922A7E6" w14:textId="14F62836" w:rsidR="0039533A" w:rsidRDefault="00ED4A0B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35B382BF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B0F94" w14:textId="6783049A" w:rsidR="0039533A" w:rsidRPr="00C82CC0" w:rsidRDefault="0039533A" w:rsidP="0039533A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E8633A">
              <w:rPr>
                <w:rFonts w:cs="Arial"/>
                <w:color w:val="45545F"/>
                <w:lang w:bidi="pa-IN"/>
              </w:rPr>
              <w:t>SulphurRecoveryEfficiencyActualMonthly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26EFC5" w14:textId="77777777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Actual monthly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recovery </w:t>
            </w:r>
            <w:proofErr w:type="gramStart"/>
            <w:r>
              <w:rPr>
                <w:rFonts w:cs="Arial"/>
                <w:color w:val="45545F"/>
                <w:lang w:bidi="pa-IN"/>
              </w:rPr>
              <w:t>efficiency;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76.15</w:t>
            </w:r>
          </w:p>
          <w:p w14:paraId="584648E4" w14:textId="77777777" w:rsidR="00B7465C" w:rsidRDefault="00B7465C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  <w:p w14:paraId="46BCA6C7" w14:textId="77777777" w:rsidR="00B7465C" w:rsidRDefault="00B7465C" w:rsidP="00B7465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Calculated using the following formula:</w:t>
            </w:r>
          </w:p>
          <w:p w14:paraId="64318CCF" w14:textId="4E5707B2" w:rsidR="00B7465C" w:rsidRPr="00B7465C" w:rsidRDefault="00B7465C" w:rsidP="00B7465C">
            <w:pPr>
              <w:spacing w:line="240" w:lineRule="auto"/>
              <w:rPr>
                <w:rFonts w:cs="Arial"/>
                <w:b/>
                <w:color w:val="45545F"/>
                <w:lang w:bidi="pa-IN"/>
              </w:rPr>
            </w:pPr>
            <w:r>
              <w:rPr>
                <w:noProof/>
              </w:rPr>
              <w:drawing>
                <wp:inline distT="0" distB="0" distL="0" distR="0" wp14:anchorId="7BCF049D" wp14:editId="4FF0E9C7">
                  <wp:extent cx="1932317" cy="395592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21" cy="3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</w:tcPr>
          <w:p w14:paraId="5BF3DEB4" w14:textId="023C9BB4" w:rsidR="0039533A" w:rsidRDefault="00ED4A0B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620E917F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B406A6" w14:textId="4A595CFA" w:rsidR="0039533A" w:rsidRPr="00C82CC0" w:rsidRDefault="0039533A" w:rsidP="0039533A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E8633A">
              <w:rPr>
                <w:rFonts w:cs="Arial"/>
                <w:color w:val="45545F"/>
                <w:lang w:bidi="pa-IN"/>
              </w:rPr>
              <w:t>SulphurRecoveryEfficiencyCummulativeQuarterly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6FDF88" w14:textId="410190CA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Cummulative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quarterly value of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recovery efficiency</w:t>
            </w:r>
          </w:p>
        </w:tc>
        <w:tc>
          <w:tcPr>
            <w:tcW w:w="1149" w:type="dxa"/>
          </w:tcPr>
          <w:p w14:paraId="2DDF13FD" w14:textId="5E6E144A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30A05CCF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A608DD" w14:textId="48299410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E8633A">
              <w:rPr>
                <w:rFonts w:cs="Arial"/>
                <w:color w:val="45545F"/>
                <w:lang w:bidi="pa-IN"/>
              </w:rPr>
              <w:t>Comments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AEBBF0" w14:textId="31701495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General comments in text</w:t>
            </w:r>
          </w:p>
        </w:tc>
        <w:tc>
          <w:tcPr>
            <w:tcW w:w="1149" w:type="dxa"/>
          </w:tcPr>
          <w:p w14:paraId="1B6C9BC4" w14:textId="082142F1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19190518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88CE2" w14:textId="3F52185E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Day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619091" w14:textId="2850D8F1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Day values from 1 - 31</w:t>
            </w:r>
          </w:p>
        </w:tc>
        <w:tc>
          <w:tcPr>
            <w:tcW w:w="1149" w:type="dxa"/>
          </w:tcPr>
          <w:p w14:paraId="46F3FC0B" w14:textId="7F71C826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9533A" w:rsidRPr="00085D1A" w14:paraId="4519D2A4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75082" w14:textId="3203D649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813476">
              <w:rPr>
                <w:rFonts w:cs="Arial"/>
                <w:color w:val="45545F"/>
                <w:lang w:bidi="pa-IN"/>
              </w:rPr>
              <w:t>SulphurInActualPlantFeedstockVolume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E8496A" w14:textId="07989D66" w:rsidR="0039533A" w:rsidRDefault="000860A9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</w:t>
            </w:r>
            <w:r w:rsidRPr="00EA665D">
              <w:rPr>
                <w:rFonts w:cs="Arial"/>
                <w:color w:val="45545F"/>
                <w:lang w:bidi="pa-IN"/>
              </w:rPr>
              <w:t>ctual volume of plant feedstock (raw gas plus gas equivalent of inlet condensate) received by the plant on this day in 10</w:t>
            </w:r>
            <w:r w:rsidRPr="00EA665D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EA665D">
              <w:rPr>
                <w:rFonts w:cs="Arial"/>
                <w:color w:val="45545F"/>
                <w:lang w:bidi="pa-IN"/>
              </w:rPr>
              <w:t xml:space="preserve"> m</w:t>
            </w:r>
            <w:r w:rsidRPr="00EA665D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EA665D">
              <w:rPr>
                <w:rFonts w:cs="Arial"/>
                <w:color w:val="45545F"/>
                <w:lang w:bidi="pa-IN"/>
              </w:rPr>
              <w:t xml:space="preserve"> to 1</w:t>
            </w:r>
            <w:r>
              <w:rPr>
                <w:rFonts w:cs="Arial"/>
                <w:color w:val="45545F"/>
                <w:lang w:bidi="pa-IN"/>
              </w:rPr>
              <w:t xml:space="preserve"> decimal place</w:t>
            </w:r>
            <w:r w:rsidRPr="00EA665D">
              <w:rPr>
                <w:rFonts w:cs="Arial"/>
                <w:color w:val="45545F"/>
                <w:lang w:bidi="pa-IN"/>
              </w:rPr>
              <w:t xml:space="preserve">. This must not be entered as a daily average volume for the entire </w:t>
            </w:r>
            <w:proofErr w:type="gramStart"/>
            <w:r w:rsidRPr="00EA665D">
              <w:rPr>
                <w:rFonts w:cs="Arial"/>
                <w:color w:val="45545F"/>
                <w:lang w:bidi="pa-IN"/>
              </w:rPr>
              <w:t>month</w:t>
            </w:r>
            <w:r w:rsidR="0039533A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39533A">
              <w:rPr>
                <w:rFonts w:cs="Arial"/>
                <w:color w:val="45545F"/>
                <w:lang w:bidi="pa-IN"/>
              </w:rPr>
              <w:t xml:space="preserve"> e.g., 102.8</w:t>
            </w:r>
          </w:p>
        </w:tc>
        <w:tc>
          <w:tcPr>
            <w:tcW w:w="1149" w:type="dxa"/>
          </w:tcPr>
          <w:p w14:paraId="6B555E91" w14:textId="10C8A7CA" w:rsidR="0039533A" w:rsidRDefault="00C27A68" w:rsidP="00C27A6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39533A" w:rsidRPr="00085D1A" w14:paraId="3736C03B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7639A6" w14:textId="6CBD5473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813476">
              <w:rPr>
                <w:rFonts w:cs="Arial"/>
                <w:color w:val="45545F"/>
                <w:lang w:bidi="pa-IN"/>
              </w:rPr>
              <w:t>SulphurInActualPlantFeedstockMass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4CF5C3" w14:textId="77777777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Sulphur in actual plant feedback </w:t>
            </w:r>
            <w:proofErr w:type="gramStart"/>
            <w:r>
              <w:rPr>
                <w:rFonts w:cs="Arial"/>
                <w:color w:val="45545F"/>
                <w:lang w:bidi="pa-IN"/>
              </w:rPr>
              <w:t>mass;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2.44</w:t>
            </w:r>
          </w:p>
          <w:p w14:paraId="297A7BA6" w14:textId="77777777" w:rsidR="00B75915" w:rsidRDefault="00B75915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  <w:p w14:paraId="648E5FDB" w14:textId="7A3C3072" w:rsidR="00B75915" w:rsidRDefault="00B75915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AE3E7A">
              <w:rPr>
                <w:rFonts w:cs="Arial"/>
                <w:color w:val="45545F"/>
                <w:lang w:bidi="pa-IN"/>
              </w:rPr>
              <w:t>Sulphur (t) = Plant feedstock volume (10</w:t>
            </w:r>
            <w:r w:rsidRPr="00AE3E7A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AE3E7A">
              <w:rPr>
                <w:rFonts w:cs="Arial"/>
                <w:color w:val="45545F"/>
                <w:lang w:bidi="pa-IN"/>
              </w:rPr>
              <w:t xml:space="preserve"> m</w:t>
            </w:r>
            <w:r w:rsidRPr="00AE3E7A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AE3E7A">
              <w:rPr>
                <w:rFonts w:cs="Arial"/>
                <w:color w:val="45545F"/>
                <w:lang w:bidi="pa-IN"/>
              </w:rPr>
              <w:t xml:space="preserve">) × Recombined </w:t>
            </w:r>
            <w:r w:rsidRPr="00AE3E7A">
              <w:rPr>
                <w:rFonts w:cs="Arial"/>
                <w:color w:val="45545F"/>
                <w:lang w:bidi="pa-IN"/>
              </w:rPr>
              <w:lastRenderedPageBreak/>
              <w:t>H</w:t>
            </w:r>
            <w:r w:rsidRPr="00AE3E7A">
              <w:rPr>
                <w:rFonts w:cs="Arial"/>
                <w:color w:val="45545F"/>
                <w:vertAlign w:val="subscript"/>
                <w:lang w:bidi="pa-IN"/>
              </w:rPr>
              <w:t>2</w:t>
            </w:r>
            <w:r w:rsidRPr="00AE3E7A">
              <w:rPr>
                <w:rFonts w:cs="Arial"/>
                <w:color w:val="45545F"/>
                <w:lang w:bidi="pa-IN"/>
              </w:rPr>
              <w:t>S% × 1.35592 (Conversion factor) ÷ 100</w:t>
            </w:r>
          </w:p>
        </w:tc>
        <w:tc>
          <w:tcPr>
            <w:tcW w:w="1149" w:type="dxa"/>
          </w:tcPr>
          <w:p w14:paraId="45004A7F" w14:textId="5958C5A1" w:rsidR="0039533A" w:rsidRDefault="0039533A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>Yes</w:t>
            </w:r>
          </w:p>
        </w:tc>
      </w:tr>
      <w:tr w:rsidR="00EA294F" w:rsidRPr="00085D1A" w14:paraId="224D0AFE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D03A3" w14:textId="59C21933" w:rsidR="00EA294F" w:rsidRDefault="00EA294F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EA294F">
              <w:rPr>
                <w:rFonts w:cs="Arial"/>
                <w:color w:val="45545F"/>
                <w:lang w:bidi="pa-IN"/>
              </w:rPr>
              <w:t>SulphurOutProduction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15EA8" w14:textId="4DD95740" w:rsidR="00EA294F" w:rsidRPr="002C1BA7" w:rsidRDefault="00953F7A" w:rsidP="00953F7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Elemental Sulphur produced on site (typically poured to block or </w:t>
            </w:r>
            <w:proofErr w:type="spellStart"/>
            <w:r>
              <w:rPr>
                <w:rFonts w:cs="Arial"/>
                <w:color w:val="45545F"/>
                <w:lang w:bidi="pa-IN"/>
              </w:rPr>
              <w:t>prilled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) and not intended for disposal in </w:t>
            </w:r>
            <w:proofErr w:type="spellStart"/>
            <w:r>
              <w:rPr>
                <w:rFonts w:cs="Arial"/>
                <w:color w:val="45545F"/>
                <w:lang w:bidi="pa-IN"/>
              </w:rPr>
              <w:t>tonnes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(t)</w:t>
            </w:r>
          </w:p>
        </w:tc>
        <w:tc>
          <w:tcPr>
            <w:tcW w:w="1149" w:type="dxa"/>
          </w:tcPr>
          <w:p w14:paraId="60290FB9" w14:textId="052C7966" w:rsidR="00EA294F" w:rsidRDefault="00EA294F" w:rsidP="0039533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B0304" w:rsidRPr="00085D1A" w14:paraId="11E1E8E6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DFBBF" w14:textId="434CEE76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EA294F">
              <w:rPr>
                <w:rFonts w:cs="Arial"/>
                <w:color w:val="45545F"/>
                <w:lang w:bidi="pa-IN"/>
              </w:rPr>
              <w:t>SulphurOutStackEmission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F8443" w14:textId="072D8FD4" w:rsidR="006B0304" w:rsidRPr="002C1BA7" w:rsidRDefault="00A2172A" w:rsidP="00A2172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Total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incinerated</w:t>
            </w:r>
            <w:r w:rsidRPr="00A2172A">
              <w:rPr>
                <w:rFonts w:cs="Arial"/>
                <w:color w:val="45545F"/>
                <w:lang w:bidi="pa-IN"/>
              </w:rPr>
              <w:t xml:space="preserve"> </w:t>
            </w:r>
            <w:r>
              <w:rPr>
                <w:rFonts w:cs="Arial"/>
                <w:color w:val="45545F"/>
                <w:lang w:bidi="pa-IN"/>
              </w:rPr>
              <w:t>or burned as f</w:t>
            </w:r>
            <w:r w:rsidRPr="00A2172A">
              <w:rPr>
                <w:rFonts w:cs="Arial"/>
                <w:color w:val="45545F"/>
                <w:lang w:bidi="pa-IN"/>
              </w:rPr>
              <w:t>uel</w:t>
            </w:r>
            <w:r>
              <w:rPr>
                <w:rFonts w:cs="Arial"/>
                <w:color w:val="45545F"/>
                <w:lang w:bidi="pa-IN"/>
              </w:rPr>
              <w:t xml:space="preserve"> and e</w:t>
            </w:r>
            <w:r w:rsidRPr="00A2172A">
              <w:rPr>
                <w:rFonts w:cs="Arial"/>
                <w:color w:val="45545F"/>
                <w:lang w:bidi="pa-IN"/>
              </w:rPr>
              <w:t>mi</w:t>
            </w:r>
            <w:r>
              <w:rPr>
                <w:rFonts w:cs="Arial"/>
                <w:color w:val="45545F"/>
                <w:lang w:bidi="pa-IN"/>
              </w:rPr>
              <w:t xml:space="preserve">tted to the atmosphere in </w:t>
            </w:r>
            <w:proofErr w:type="spellStart"/>
            <w:r>
              <w:rPr>
                <w:rFonts w:cs="Arial"/>
                <w:color w:val="45545F"/>
                <w:lang w:bidi="pa-IN"/>
              </w:rPr>
              <w:t>tonnes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(t)</w:t>
            </w:r>
          </w:p>
        </w:tc>
        <w:tc>
          <w:tcPr>
            <w:tcW w:w="1149" w:type="dxa"/>
          </w:tcPr>
          <w:p w14:paraId="15E1C8D2" w14:textId="1BEBE215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B0304" w:rsidRPr="00085D1A" w14:paraId="3F5BB36F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E41C5" w14:textId="778959B3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EA52B0">
              <w:rPr>
                <w:rFonts w:cs="Arial"/>
                <w:color w:val="45545F"/>
                <w:lang w:bidi="pa-IN"/>
              </w:rPr>
              <w:t>SulphurOutGasFlaredVolume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97BA12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2C1BA7">
              <w:rPr>
                <w:rFonts w:cs="Arial"/>
                <w:color w:val="45545F"/>
                <w:lang w:bidi="pa-IN"/>
              </w:rPr>
              <w:t>Enter the amount of gas flared from the plant in 10</w:t>
            </w:r>
            <w:r w:rsidRPr="00953F7A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2C1BA7">
              <w:rPr>
                <w:rFonts w:cs="Arial"/>
                <w:color w:val="45545F"/>
                <w:lang w:bidi="pa-IN"/>
              </w:rPr>
              <w:t xml:space="preserve"> m</w:t>
            </w:r>
            <w:r w:rsidRPr="00953F7A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2C1BA7">
              <w:rPr>
                <w:rFonts w:cs="Arial"/>
                <w:color w:val="45545F"/>
                <w:lang w:bidi="pa-IN"/>
              </w:rPr>
              <w:t xml:space="preserve"> to 1 decimal place.</w:t>
            </w:r>
          </w:p>
          <w:p w14:paraId="4ECA39FD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  <w:p w14:paraId="1D9DF391" w14:textId="3F1F813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Include all sours gas flared and also report acid gas flared from plants that do not recover </w:t>
            </w:r>
            <w:proofErr w:type="spellStart"/>
            <w:proofErr w:type="gram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>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0.01</w:t>
            </w:r>
          </w:p>
        </w:tc>
        <w:tc>
          <w:tcPr>
            <w:tcW w:w="1149" w:type="dxa"/>
          </w:tcPr>
          <w:p w14:paraId="4F95C2B7" w14:textId="0B98E247" w:rsidR="006B0304" w:rsidRDefault="00C27A68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B0304" w:rsidRPr="00085D1A" w14:paraId="78B2E75B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ECCCA" w14:textId="0DAF296C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B122B2">
              <w:rPr>
                <w:rFonts w:cs="Arial"/>
                <w:color w:val="45545F"/>
                <w:lang w:bidi="pa-IN"/>
              </w:rPr>
              <w:t>SulphurOutFlaredGasEmission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583D9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Flared gas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emission (t); e.g., 0.01</w:t>
            </w:r>
          </w:p>
          <w:p w14:paraId="53F5C569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  <w:p w14:paraId="6E535572" w14:textId="2741C7A8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A6FF3">
              <w:rPr>
                <w:rFonts w:cs="Arial"/>
                <w:color w:val="45545F"/>
                <w:lang w:bidi="pa-IN"/>
              </w:rPr>
              <w:t>Sulphur (t) = Flared gas volume (103 m</w:t>
            </w:r>
            <w:r w:rsidRPr="001A6FF3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1A6FF3">
              <w:rPr>
                <w:rFonts w:cs="Arial"/>
                <w:color w:val="45545F"/>
                <w:lang w:bidi="pa-IN"/>
              </w:rPr>
              <w:t>) × Flared gas H</w:t>
            </w:r>
            <w:r w:rsidRPr="001A6FF3">
              <w:rPr>
                <w:rFonts w:cs="Arial"/>
                <w:color w:val="45545F"/>
                <w:vertAlign w:val="subscript"/>
                <w:lang w:bidi="pa-IN"/>
              </w:rPr>
              <w:t>2</w:t>
            </w:r>
            <w:r w:rsidRPr="001A6FF3">
              <w:rPr>
                <w:rFonts w:cs="Arial"/>
                <w:color w:val="45545F"/>
                <w:lang w:bidi="pa-IN"/>
              </w:rPr>
              <w:t>S% × 1.35592 (Conversion factor) ÷100</w:t>
            </w:r>
          </w:p>
        </w:tc>
        <w:tc>
          <w:tcPr>
            <w:tcW w:w="1149" w:type="dxa"/>
          </w:tcPr>
          <w:p w14:paraId="0E01DE1E" w14:textId="0D7D020D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B0304" w:rsidRPr="00085D1A" w14:paraId="4EC87A07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8BA5B2" w14:textId="3329458D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B122B2">
              <w:rPr>
                <w:rFonts w:cs="Arial"/>
                <w:color w:val="45545F"/>
                <w:lang w:bidi="pa-IN"/>
              </w:rPr>
              <w:t>SulphurOutVolume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BEC692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</w:t>
            </w:r>
            <w:r w:rsidRPr="00913572">
              <w:rPr>
                <w:rFonts w:cs="Arial"/>
                <w:color w:val="45545F"/>
                <w:lang w:bidi="pa-IN"/>
              </w:rPr>
              <w:t xml:space="preserve">aily volume of </w:t>
            </w:r>
            <w:proofErr w:type="spellStart"/>
            <w:r w:rsidRPr="00913572"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 w:rsidRPr="00913572">
              <w:rPr>
                <w:rFonts w:cs="Arial"/>
                <w:color w:val="45545F"/>
                <w:lang w:bidi="pa-IN"/>
              </w:rPr>
              <w:t xml:space="preserve"> injected to subsurface formations or disposed of in any manner other than described above (e.g., nonregenerative sweetening) in 10</w:t>
            </w:r>
            <w:r w:rsidRPr="00913572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913572">
              <w:rPr>
                <w:rFonts w:cs="Arial"/>
                <w:color w:val="45545F"/>
                <w:lang w:bidi="pa-IN"/>
              </w:rPr>
              <w:t xml:space="preserve"> m</w:t>
            </w:r>
            <w:r w:rsidRPr="00913572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913572">
              <w:rPr>
                <w:rFonts w:cs="Arial"/>
                <w:color w:val="45545F"/>
                <w:lang w:bidi="pa-IN"/>
              </w:rPr>
              <w:t xml:space="preserve"> to 1 decimal place</w:t>
            </w:r>
          </w:p>
          <w:p w14:paraId="3D2358BD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  <w:p w14:paraId="3B608969" w14:textId="1ABCC64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Include all sour gas injected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and also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report acid gas injected from plants that do not recover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>. “Other” disposition, if used, must be identified and separately quantified (monthly total) as part of the S-30 submission.</w:t>
            </w:r>
          </w:p>
        </w:tc>
        <w:tc>
          <w:tcPr>
            <w:tcW w:w="1149" w:type="dxa"/>
          </w:tcPr>
          <w:p w14:paraId="018462A1" w14:textId="06BE2C0E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B0304" w:rsidRPr="00085D1A" w14:paraId="11F87D03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810ED" w14:textId="63846BCC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B122B2">
              <w:rPr>
                <w:rFonts w:cs="Arial"/>
                <w:color w:val="45545F"/>
                <w:lang w:bidi="pa-IN"/>
              </w:rPr>
              <w:t>SulphurOutMass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E3A7B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Injected/Other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sulphur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mass (t); e.g., 0.01</w:t>
            </w:r>
          </w:p>
          <w:p w14:paraId="3F08D4C8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  <w:p w14:paraId="785E003A" w14:textId="04EFD2A4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733C2">
              <w:rPr>
                <w:rFonts w:cs="Arial"/>
                <w:color w:val="45545F"/>
                <w:lang w:bidi="pa-IN"/>
              </w:rPr>
              <w:t>Sulphur (t) = Injected gas volume (10</w:t>
            </w:r>
            <w:r w:rsidRPr="00D23C0B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1733C2">
              <w:rPr>
                <w:rFonts w:cs="Arial"/>
                <w:color w:val="45545F"/>
                <w:lang w:bidi="pa-IN"/>
              </w:rPr>
              <w:t xml:space="preserve"> m</w:t>
            </w:r>
            <w:r w:rsidRPr="00D23C0B">
              <w:rPr>
                <w:rFonts w:cs="Arial"/>
                <w:color w:val="45545F"/>
                <w:vertAlign w:val="superscript"/>
                <w:lang w:bidi="pa-IN"/>
              </w:rPr>
              <w:t>3</w:t>
            </w:r>
            <w:r w:rsidRPr="001733C2">
              <w:rPr>
                <w:rFonts w:cs="Arial"/>
                <w:color w:val="45545F"/>
                <w:lang w:bidi="pa-IN"/>
              </w:rPr>
              <w:t>) × Injected gas H</w:t>
            </w:r>
            <w:r w:rsidRPr="00D23C0B">
              <w:rPr>
                <w:rFonts w:cs="Arial"/>
                <w:color w:val="45545F"/>
                <w:vertAlign w:val="subscript"/>
                <w:lang w:bidi="pa-IN"/>
              </w:rPr>
              <w:t>2</w:t>
            </w:r>
            <w:r w:rsidRPr="001733C2">
              <w:rPr>
                <w:rFonts w:cs="Arial"/>
                <w:color w:val="45545F"/>
                <w:lang w:bidi="pa-IN"/>
              </w:rPr>
              <w:t>S% × 1.35592 (Conversion factor) ÷100</w:t>
            </w:r>
          </w:p>
        </w:tc>
        <w:tc>
          <w:tcPr>
            <w:tcW w:w="1149" w:type="dxa"/>
          </w:tcPr>
          <w:p w14:paraId="493BB0BF" w14:textId="5D27BE24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B0304" w:rsidRPr="00085D1A" w14:paraId="23593E88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30CD" w14:textId="3AE87E04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proofErr w:type="spellStart"/>
            <w:r w:rsidRPr="00B122B2">
              <w:rPr>
                <w:rFonts w:cs="Arial"/>
                <w:color w:val="45545F"/>
                <w:lang w:bidi="pa-IN"/>
              </w:rPr>
              <w:t>TotalSulphur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E52D4" w14:textId="6E7797BA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Total daily Sulphur </w:t>
            </w:r>
            <w:proofErr w:type="gramStart"/>
            <w:r>
              <w:rPr>
                <w:rFonts w:cs="Arial"/>
                <w:color w:val="45545F"/>
                <w:lang w:bidi="pa-IN"/>
              </w:rPr>
              <w:t>out;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2.130</w:t>
            </w:r>
          </w:p>
          <w:p w14:paraId="7D04B66C" w14:textId="7777777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  <w:p w14:paraId="43F2E10C" w14:textId="0447D56E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23C0B">
              <w:rPr>
                <w:rFonts w:cs="Arial"/>
                <w:color w:val="45545F"/>
                <w:lang w:bidi="pa-IN"/>
              </w:rPr>
              <w:lastRenderedPageBreak/>
              <w:t>Total daily tonnage = Sulphur production (t) + Sulphur stack emission (t) + Flared gas (t) + Injected/others (t)</w:t>
            </w:r>
          </w:p>
        </w:tc>
        <w:tc>
          <w:tcPr>
            <w:tcW w:w="1149" w:type="dxa"/>
          </w:tcPr>
          <w:p w14:paraId="57B05928" w14:textId="7EED6B21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>Yes</w:t>
            </w:r>
          </w:p>
        </w:tc>
      </w:tr>
      <w:tr w:rsidR="006B0304" w:rsidRPr="00085D1A" w14:paraId="7FB56A9D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73C2A8" w14:textId="195C24C8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r w:rsidRPr="00667E50">
              <w:rPr>
                <w:rFonts w:cs="Arial"/>
                <w:color w:val="45545F"/>
                <w:lang w:bidi="pa-IN"/>
              </w:rPr>
              <w:t>SulphurInPercentH2S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FF7BA0" w14:textId="354C1C5B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</w:t>
            </w:r>
            <w:r w:rsidRPr="00E91CD7">
              <w:rPr>
                <w:rFonts w:cs="Arial"/>
                <w:color w:val="45545F"/>
                <w:lang w:bidi="pa-IN"/>
              </w:rPr>
              <w:t>aily percentage of H</w:t>
            </w:r>
            <w:r w:rsidRPr="00E91CD7">
              <w:rPr>
                <w:rFonts w:cs="Arial"/>
                <w:color w:val="45545F"/>
                <w:vertAlign w:val="subscript"/>
                <w:lang w:bidi="pa-IN"/>
              </w:rPr>
              <w:t>2</w:t>
            </w:r>
            <w:r w:rsidRPr="00E91CD7">
              <w:rPr>
                <w:rFonts w:cs="Arial"/>
                <w:color w:val="45545F"/>
                <w:lang w:bidi="pa-IN"/>
              </w:rPr>
              <w:t xml:space="preserve">S contained in the recombined plant feedstock (raw gas and condensate and/or water) on this day to 1 decimal place; if less than 0.10 per cent, enter the percentage to 4 decimal </w:t>
            </w:r>
            <w:proofErr w:type="gramStart"/>
            <w:r w:rsidRPr="00E91CD7">
              <w:rPr>
                <w:rFonts w:cs="Arial"/>
                <w:color w:val="45545F"/>
                <w:lang w:bidi="pa-IN"/>
              </w:rPr>
              <w:t>places</w:t>
            </w:r>
            <w:r>
              <w:rPr>
                <w:rFonts w:cs="Arial"/>
                <w:color w:val="45545F"/>
                <w:lang w:bidi="pa-IN"/>
              </w:rPr>
              <w:t>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1.75</w:t>
            </w:r>
          </w:p>
        </w:tc>
        <w:tc>
          <w:tcPr>
            <w:tcW w:w="1149" w:type="dxa"/>
          </w:tcPr>
          <w:p w14:paraId="0D3685BD" w14:textId="393507ED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B0304" w:rsidRPr="00085D1A" w14:paraId="68460A58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FEB89D" w14:textId="7AFD7E07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Su</w:t>
            </w:r>
            <w:r w:rsidRPr="00667E50">
              <w:rPr>
                <w:rFonts w:cs="Arial"/>
                <w:color w:val="45545F"/>
                <w:lang w:bidi="pa-IN"/>
              </w:rPr>
              <w:t>l</w:t>
            </w:r>
            <w:r>
              <w:rPr>
                <w:rFonts w:cs="Arial"/>
                <w:color w:val="45545F"/>
                <w:lang w:bidi="pa-IN"/>
              </w:rPr>
              <w:t>p</w:t>
            </w:r>
            <w:r w:rsidRPr="00667E50">
              <w:rPr>
                <w:rFonts w:cs="Arial"/>
                <w:color w:val="45545F"/>
                <w:lang w:bidi="pa-IN"/>
              </w:rPr>
              <w:t>hurOutPercentH2SFlaredGas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FD2338" w14:textId="784186D5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</w:t>
            </w:r>
            <w:r w:rsidRPr="00E91CD7">
              <w:rPr>
                <w:rFonts w:cs="Arial"/>
                <w:color w:val="45545F"/>
                <w:lang w:bidi="pa-IN"/>
              </w:rPr>
              <w:t>aily percentage of H</w:t>
            </w:r>
            <w:r w:rsidRPr="009D6A16">
              <w:rPr>
                <w:rFonts w:cs="Arial"/>
                <w:color w:val="45545F"/>
                <w:vertAlign w:val="subscript"/>
                <w:lang w:bidi="pa-IN"/>
              </w:rPr>
              <w:t>2</w:t>
            </w:r>
            <w:r w:rsidRPr="00E91CD7">
              <w:rPr>
                <w:rFonts w:cs="Arial"/>
                <w:color w:val="45545F"/>
                <w:lang w:bidi="pa-IN"/>
              </w:rPr>
              <w:t>S contained in the flared gas to 1 decimal place.</w:t>
            </w:r>
            <w:r>
              <w:rPr>
                <w:rFonts w:cs="Arial"/>
                <w:color w:val="45545F"/>
                <w:lang w:bidi="pa-IN"/>
              </w:rPr>
              <w:t>; e.g., 18.0</w:t>
            </w:r>
          </w:p>
        </w:tc>
        <w:tc>
          <w:tcPr>
            <w:tcW w:w="1149" w:type="dxa"/>
          </w:tcPr>
          <w:p w14:paraId="3D3D006C" w14:textId="253DC708" w:rsidR="006B0304" w:rsidRDefault="00C27A68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B0304" w:rsidRPr="00085D1A" w14:paraId="3A9F7D80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81E6C9" w14:textId="01C02E66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r w:rsidRPr="00E94975">
              <w:rPr>
                <w:rFonts w:cs="Arial"/>
                <w:color w:val="45545F"/>
                <w:lang w:bidi="pa-IN"/>
              </w:rPr>
              <w:t>SulphurOutPercentH2S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7F710D" w14:textId="34263322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</w:t>
            </w:r>
            <w:r w:rsidRPr="009D6A16">
              <w:rPr>
                <w:rFonts w:cs="Arial"/>
                <w:color w:val="45545F"/>
                <w:lang w:bidi="pa-IN"/>
              </w:rPr>
              <w:t>aily percentage of H</w:t>
            </w:r>
            <w:r w:rsidRPr="00AC3F5B">
              <w:rPr>
                <w:rFonts w:cs="Arial"/>
                <w:color w:val="45545F"/>
                <w:vertAlign w:val="subscript"/>
                <w:lang w:bidi="pa-IN"/>
              </w:rPr>
              <w:t>2</w:t>
            </w:r>
            <w:r w:rsidRPr="009D6A16">
              <w:rPr>
                <w:rFonts w:cs="Arial"/>
                <w:color w:val="45545F"/>
                <w:lang w:bidi="pa-IN"/>
              </w:rPr>
              <w:t xml:space="preserve">S contained in the injected gas to 1 decimal </w:t>
            </w:r>
            <w:proofErr w:type="gramStart"/>
            <w:r w:rsidRPr="009D6A16">
              <w:rPr>
                <w:rFonts w:cs="Arial"/>
                <w:color w:val="45545F"/>
                <w:lang w:bidi="pa-IN"/>
              </w:rPr>
              <w:t>place</w:t>
            </w:r>
            <w:r w:rsidR="00953F7A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953F7A">
              <w:rPr>
                <w:rFonts w:cs="Arial"/>
                <w:color w:val="45545F"/>
                <w:lang w:bidi="pa-IN"/>
              </w:rPr>
              <w:t xml:space="preserve"> e.g., 0.</w:t>
            </w:r>
            <w:r>
              <w:rPr>
                <w:rFonts w:cs="Arial"/>
                <w:color w:val="45545F"/>
                <w:lang w:bidi="pa-IN"/>
              </w:rPr>
              <w:t>1</w:t>
            </w:r>
          </w:p>
        </w:tc>
        <w:tc>
          <w:tcPr>
            <w:tcW w:w="1149" w:type="dxa"/>
          </w:tcPr>
          <w:p w14:paraId="0620FD3B" w14:textId="249C98E3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B0304" w:rsidRPr="00085D1A" w14:paraId="71488EE0" w14:textId="77777777" w:rsidTr="00403C61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8C7A2" w14:textId="6349CEE4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MonthlyTotal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0F7341" w14:textId="278AA7C8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Total monthly in decimal</w:t>
            </w:r>
          </w:p>
        </w:tc>
        <w:tc>
          <w:tcPr>
            <w:tcW w:w="1149" w:type="dxa"/>
          </w:tcPr>
          <w:p w14:paraId="6CC589E9" w14:textId="7BA8D70A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B0304" w:rsidRPr="00085D1A" w14:paraId="4152297F" w14:textId="77777777" w:rsidTr="0040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F41517" w14:textId="4CF92A2C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QuarterlyTotal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A02B4" w14:textId="76A19D51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Total quarterly in decimal</w:t>
            </w:r>
          </w:p>
        </w:tc>
        <w:tc>
          <w:tcPr>
            <w:tcW w:w="1149" w:type="dxa"/>
          </w:tcPr>
          <w:p w14:paraId="23A663DF" w14:textId="4B6E0A18" w:rsidR="006B0304" w:rsidRDefault="006B0304" w:rsidP="006B030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No </w:t>
            </w:r>
          </w:p>
        </w:tc>
      </w:tr>
    </w:tbl>
    <w:p w14:paraId="13176F1D" w14:textId="77777777" w:rsidR="00B15A2D" w:rsidRDefault="00B15A2D" w:rsidP="00D53D28"/>
    <w:p w14:paraId="050E78A4" w14:textId="77777777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t>Reference Links</w:t>
      </w:r>
    </w:p>
    <w:p w14:paraId="1736DB89" w14:textId="77777777" w:rsidR="00861E38" w:rsidRDefault="00C50D66" w:rsidP="00861E38">
      <w:pPr>
        <w:pStyle w:val="Bullets1"/>
      </w:pPr>
      <w:hyperlink r:id="rId19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20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5D9F" w14:textId="77777777" w:rsidR="00F7579B" w:rsidRDefault="00F7579B" w:rsidP="00785B42">
      <w:r>
        <w:separator/>
      </w:r>
    </w:p>
  </w:endnote>
  <w:endnote w:type="continuationSeparator" w:id="0">
    <w:p w14:paraId="53BDDF9B" w14:textId="77777777" w:rsidR="00F7579B" w:rsidRDefault="00F7579B" w:rsidP="007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6CA2277C" w:rsidR="00B15A2D" w:rsidRPr="00222B34" w:rsidRDefault="006B0304" w:rsidP="00102FB1">
    <w:pPr>
      <w:pStyle w:val="Heading2"/>
    </w:pPr>
    <w:r>
      <w:rPr>
        <w:noProof/>
        <w:sz w:val="72"/>
        <w:szCs w:val="9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B577210" wp14:editId="5CEB3236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5" name="MSIPCMdab74aaab85f16127a8ed324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7E81FB" w14:textId="78522D6B" w:rsidR="006B0304" w:rsidRPr="0002740C" w:rsidRDefault="0002740C" w:rsidP="0002740C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02740C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77210" id="_x0000_t202" coordsize="21600,21600" o:spt="202" path="m,l,21600r21600,l21600,xe">
              <v:stroke joinstyle="miter"/>
              <v:path gradientshapeok="t" o:connecttype="rect"/>
            </v:shapetype>
            <v:shape id="MSIPCMdab74aaab85f16127a8ed32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" o:allowincell="f" filled="f" stroked="f" strokeweight=".5pt">
              <v:textbox inset="20pt,0,,0">
                <w:txbxContent>
                  <w:p w14:paraId="0C7E81FB" w14:textId="78522D6B" w:rsidR="006B0304" w:rsidRPr="0002740C" w:rsidRDefault="0002740C" w:rsidP="0002740C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02740C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5A2D" w:rsidRPr="00102FB1">
      <w:rPr>
        <w:noProof/>
        <w:sz w:val="72"/>
        <w:szCs w:val="96"/>
      </w:rPr>
      <w:drawing>
        <wp:anchor distT="0" distB="0" distL="114300" distR="114300" simplePos="0" relativeHeight="251657216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2D" w:rsidRPr="00102FB1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BE2148" id="Straight Connector 2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 w:rsidR="00006859">
        <w:rPr>
          <w:rStyle w:val="Hyperlink"/>
        </w:rPr>
        <w:t>https://www.alberta.ca/ets-air-reporting-support</w:t>
      </w:r>
    </w:hyperlink>
  </w:p>
  <w:p w14:paraId="2841FC67" w14:textId="0BD85ABC" w:rsidR="00B15A2D" w:rsidRPr="00F4526D" w:rsidRDefault="00B15A2D" w:rsidP="00550206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1BA3A" wp14:editId="48B20AED">
              <wp:simplePos x="0" y="0"/>
              <wp:positionH relativeFrom="page">
                <wp:posOffset>0</wp:posOffset>
              </wp:positionH>
              <wp:positionV relativeFrom="page">
                <wp:posOffset>9943152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183B6A" id="Rectangle 3" o:spid="_x0000_s1026" style="position:absolute;margin-left:0;margin-top:782.95pt;width:612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" fillcolor="#00aad2 [3206]" stroked="f" strokeweight="2pt">
              <w10:wrap anchorx="page" anchory="page"/>
            </v:rect>
          </w:pict>
        </mc:Fallback>
      </mc:AlternateContent>
    </w:r>
    <w:r w:rsidR="00D77643">
      <w:t>©</w:t>
    </w:r>
    <w:r w:rsidR="00EA294F">
      <w:t>2023</w:t>
    </w:r>
    <w:r w:rsidR="00EA294F"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 w:rsidRPr="00F4526D">
      <w:t xml:space="preserve">  </w:t>
    </w:r>
    <w:r w:rsidR="00006859">
      <w:t>November 13, 2025</w:t>
    </w:r>
    <w:r w:rsidR="00EA294F" w:rsidRPr="00F4526D">
      <w:t xml:space="preserve">  </w:t>
    </w:r>
    <w:r w:rsidRPr="00F4526D">
      <w:t xml:space="preserve">|  </w:t>
    </w:r>
    <w:r w:rsidR="00B10998">
      <w:t xml:space="preserve">Page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PAGE  \* Arabic  \* MERGEFORMAT </w:instrText>
    </w:r>
    <w:r w:rsidR="00B10998">
      <w:rPr>
        <w:b/>
        <w:bCs/>
      </w:rPr>
      <w:fldChar w:fldCharType="separate"/>
    </w:r>
    <w:r w:rsidR="0002740C">
      <w:rPr>
        <w:b/>
        <w:bCs/>
        <w:noProof/>
      </w:rPr>
      <w:t>3</w:t>
    </w:r>
    <w:r w:rsidR="00B10998">
      <w:rPr>
        <w:b/>
        <w:bCs/>
      </w:rPr>
      <w:fldChar w:fldCharType="end"/>
    </w:r>
    <w:r w:rsidR="00B10998">
      <w:t xml:space="preserve"> of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NUMPAGES  \* Arabic  \* MERGEFORMAT </w:instrText>
    </w:r>
    <w:r w:rsidR="00B10998">
      <w:rPr>
        <w:b/>
        <w:bCs/>
      </w:rPr>
      <w:fldChar w:fldCharType="separate"/>
    </w:r>
    <w:r w:rsidR="0002740C">
      <w:rPr>
        <w:b/>
        <w:bCs/>
        <w:noProof/>
      </w:rPr>
      <w:t>5</w:t>
    </w:r>
    <w:r w:rsidR="00B10998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CC8A" w14:textId="77777777" w:rsidR="00F7579B" w:rsidRDefault="00F7579B" w:rsidP="00785B42">
      <w:r>
        <w:separator/>
      </w:r>
    </w:p>
  </w:footnote>
  <w:footnote w:type="continuationSeparator" w:id="0">
    <w:p w14:paraId="73A4953F" w14:textId="77777777" w:rsidR="00F7579B" w:rsidRDefault="00F7579B" w:rsidP="007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1BF"/>
    <w:multiLevelType w:val="hybridMultilevel"/>
    <w:tmpl w:val="5720C38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81020">
    <w:abstractNumId w:val="1"/>
  </w:num>
  <w:num w:numId="2" w16cid:durableId="1011182064">
    <w:abstractNumId w:val="1"/>
  </w:num>
  <w:num w:numId="3" w16cid:durableId="938491569">
    <w:abstractNumId w:val="1"/>
  </w:num>
  <w:num w:numId="4" w16cid:durableId="269893939">
    <w:abstractNumId w:val="1"/>
  </w:num>
  <w:num w:numId="5" w16cid:durableId="404839345">
    <w:abstractNumId w:val="1"/>
  </w:num>
  <w:num w:numId="6" w16cid:durableId="1713578360">
    <w:abstractNumId w:val="1"/>
  </w:num>
  <w:num w:numId="7" w16cid:durableId="1437015618">
    <w:abstractNumId w:val="3"/>
  </w:num>
  <w:num w:numId="8" w16cid:durableId="1847162924">
    <w:abstractNumId w:val="2"/>
  </w:num>
  <w:num w:numId="9" w16cid:durableId="147806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09DF"/>
    <w:rsid w:val="00006859"/>
    <w:rsid w:val="000152DC"/>
    <w:rsid w:val="0002740C"/>
    <w:rsid w:val="000431FF"/>
    <w:rsid w:val="00046FCE"/>
    <w:rsid w:val="00055574"/>
    <w:rsid w:val="00085D1A"/>
    <w:rsid w:val="000860A9"/>
    <w:rsid w:val="000861EB"/>
    <w:rsid w:val="0009194F"/>
    <w:rsid w:val="000944C4"/>
    <w:rsid w:val="0009729A"/>
    <w:rsid w:val="000C2C04"/>
    <w:rsid w:val="000D5DE0"/>
    <w:rsid w:val="000E17DA"/>
    <w:rsid w:val="000E1B89"/>
    <w:rsid w:val="000E6D57"/>
    <w:rsid w:val="00102FB1"/>
    <w:rsid w:val="0010445E"/>
    <w:rsid w:val="00105F47"/>
    <w:rsid w:val="0011225C"/>
    <w:rsid w:val="001219C2"/>
    <w:rsid w:val="00122644"/>
    <w:rsid w:val="00125A52"/>
    <w:rsid w:val="00125C6E"/>
    <w:rsid w:val="001371B8"/>
    <w:rsid w:val="001419D3"/>
    <w:rsid w:val="00154A57"/>
    <w:rsid w:val="00157E03"/>
    <w:rsid w:val="00160063"/>
    <w:rsid w:val="0016298A"/>
    <w:rsid w:val="00163675"/>
    <w:rsid w:val="001662F1"/>
    <w:rsid w:val="001673B8"/>
    <w:rsid w:val="00170891"/>
    <w:rsid w:val="00173A75"/>
    <w:rsid w:val="00177D1E"/>
    <w:rsid w:val="00186D73"/>
    <w:rsid w:val="001967ED"/>
    <w:rsid w:val="001B74A2"/>
    <w:rsid w:val="001B7A40"/>
    <w:rsid w:val="001C4FE8"/>
    <w:rsid w:val="001E2225"/>
    <w:rsid w:val="001E2A20"/>
    <w:rsid w:val="001E34A2"/>
    <w:rsid w:val="001F026D"/>
    <w:rsid w:val="001F1AB7"/>
    <w:rsid w:val="0020616E"/>
    <w:rsid w:val="00222B34"/>
    <w:rsid w:val="002248D1"/>
    <w:rsid w:val="00232523"/>
    <w:rsid w:val="002361EB"/>
    <w:rsid w:val="0026062D"/>
    <w:rsid w:val="00280398"/>
    <w:rsid w:val="00281BF0"/>
    <w:rsid w:val="0028578E"/>
    <w:rsid w:val="0029050C"/>
    <w:rsid w:val="00294019"/>
    <w:rsid w:val="002A2E7E"/>
    <w:rsid w:val="002A4FFE"/>
    <w:rsid w:val="002A6918"/>
    <w:rsid w:val="002B1A82"/>
    <w:rsid w:val="002D3260"/>
    <w:rsid w:val="002E1A03"/>
    <w:rsid w:val="002F38D0"/>
    <w:rsid w:val="00311B8A"/>
    <w:rsid w:val="0032009A"/>
    <w:rsid w:val="00331569"/>
    <w:rsid w:val="00334FAE"/>
    <w:rsid w:val="00335EC5"/>
    <w:rsid w:val="00350DC0"/>
    <w:rsid w:val="00351DCB"/>
    <w:rsid w:val="00360A27"/>
    <w:rsid w:val="00361965"/>
    <w:rsid w:val="00361C35"/>
    <w:rsid w:val="00362D87"/>
    <w:rsid w:val="00363F60"/>
    <w:rsid w:val="003732D0"/>
    <w:rsid w:val="003744CA"/>
    <w:rsid w:val="003779C8"/>
    <w:rsid w:val="00387AD2"/>
    <w:rsid w:val="0039533A"/>
    <w:rsid w:val="003A5E9A"/>
    <w:rsid w:val="003A6CF0"/>
    <w:rsid w:val="003B6B07"/>
    <w:rsid w:val="003C486C"/>
    <w:rsid w:val="003D6409"/>
    <w:rsid w:val="003E19E0"/>
    <w:rsid w:val="003E6E1C"/>
    <w:rsid w:val="003E78BF"/>
    <w:rsid w:val="003F433C"/>
    <w:rsid w:val="003F71D3"/>
    <w:rsid w:val="00403C61"/>
    <w:rsid w:val="0043083E"/>
    <w:rsid w:val="004341E9"/>
    <w:rsid w:val="00443714"/>
    <w:rsid w:val="00443E85"/>
    <w:rsid w:val="004442DD"/>
    <w:rsid w:val="0046237A"/>
    <w:rsid w:val="0046516B"/>
    <w:rsid w:val="004736CE"/>
    <w:rsid w:val="00474A3C"/>
    <w:rsid w:val="0048334F"/>
    <w:rsid w:val="004A2D00"/>
    <w:rsid w:val="004C4269"/>
    <w:rsid w:val="004C6779"/>
    <w:rsid w:val="004E3670"/>
    <w:rsid w:val="004E431D"/>
    <w:rsid w:val="004F117B"/>
    <w:rsid w:val="004F6A93"/>
    <w:rsid w:val="00502526"/>
    <w:rsid w:val="005076F9"/>
    <w:rsid w:val="005101E8"/>
    <w:rsid w:val="00517501"/>
    <w:rsid w:val="005215E8"/>
    <w:rsid w:val="005335A3"/>
    <w:rsid w:val="00535222"/>
    <w:rsid w:val="00550206"/>
    <w:rsid w:val="0055060F"/>
    <w:rsid w:val="005536A5"/>
    <w:rsid w:val="005736D6"/>
    <w:rsid w:val="00587C08"/>
    <w:rsid w:val="005902F4"/>
    <w:rsid w:val="005914CF"/>
    <w:rsid w:val="005A6EB2"/>
    <w:rsid w:val="005B5098"/>
    <w:rsid w:val="005B68CA"/>
    <w:rsid w:val="005F06AA"/>
    <w:rsid w:val="006062C0"/>
    <w:rsid w:val="006169D7"/>
    <w:rsid w:val="00620934"/>
    <w:rsid w:val="00625DF5"/>
    <w:rsid w:val="00634D06"/>
    <w:rsid w:val="0065050A"/>
    <w:rsid w:val="006521FB"/>
    <w:rsid w:val="00662FE1"/>
    <w:rsid w:val="00664ECB"/>
    <w:rsid w:val="00667E50"/>
    <w:rsid w:val="00677054"/>
    <w:rsid w:val="006802BE"/>
    <w:rsid w:val="00680580"/>
    <w:rsid w:val="00683D50"/>
    <w:rsid w:val="006A0D27"/>
    <w:rsid w:val="006A71BA"/>
    <w:rsid w:val="006B0304"/>
    <w:rsid w:val="006C351D"/>
    <w:rsid w:val="006C3C74"/>
    <w:rsid w:val="006F1532"/>
    <w:rsid w:val="006F34A4"/>
    <w:rsid w:val="00704FF4"/>
    <w:rsid w:val="00705854"/>
    <w:rsid w:val="007077C3"/>
    <w:rsid w:val="00710211"/>
    <w:rsid w:val="007170F8"/>
    <w:rsid w:val="00727952"/>
    <w:rsid w:val="007348A0"/>
    <w:rsid w:val="00744920"/>
    <w:rsid w:val="0076659F"/>
    <w:rsid w:val="00777DA6"/>
    <w:rsid w:val="00785B42"/>
    <w:rsid w:val="0078725E"/>
    <w:rsid w:val="00795A19"/>
    <w:rsid w:val="007A103B"/>
    <w:rsid w:val="007A16EB"/>
    <w:rsid w:val="007C6A05"/>
    <w:rsid w:val="007D7018"/>
    <w:rsid w:val="00811622"/>
    <w:rsid w:val="00813476"/>
    <w:rsid w:val="00813A8D"/>
    <w:rsid w:val="00840101"/>
    <w:rsid w:val="00851636"/>
    <w:rsid w:val="00861E38"/>
    <w:rsid w:val="0086623A"/>
    <w:rsid w:val="00876935"/>
    <w:rsid w:val="00891673"/>
    <w:rsid w:val="008A4564"/>
    <w:rsid w:val="008D2161"/>
    <w:rsid w:val="008D220B"/>
    <w:rsid w:val="008D2D2A"/>
    <w:rsid w:val="0090155F"/>
    <w:rsid w:val="009018C1"/>
    <w:rsid w:val="00922980"/>
    <w:rsid w:val="00931239"/>
    <w:rsid w:val="009318EE"/>
    <w:rsid w:val="00941910"/>
    <w:rsid w:val="00952BBA"/>
    <w:rsid w:val="00953F7A"/>
    <w:rsid w:val="009545D7"/>
    <w:rsid w:val="00956583"/>
    <w:rsid w:val="00956ACF"/>
    <w:rsid w:val="009629B0"/>
    <w:rsid w:val="009801E2"/>
    <w:rsid w:val="00996F0B"/>
    <w:rsid w:val="009A1E7E"/>
    <w:rsid w:val="009A2161"/>
    <w:rsid w:val="009A3955"/>
    <w:rsid w:val="009A6A0B"/>
    <w:rsid w:val="009C439D"/>
    <w:rsid w:val="009D1595"/>
    <w:rsid w:val="009D7D5A"/>
    <w:rsid w:val="009E1C0F"/>
    <w:rsid w:val="009E712E"/>
    <w:rsid w:val="009F13D2"/>
    <w:rsid w:val="009F3B01"/>
    <w:rsid w:val="009F3FC5"/>
    <w:rsid w:val="00A017F5"/>
    <w:rsid w:val="00A07396"/>
    <w:rsid w:val="00A07D4C"/>
    <w:rsid w:val="00A2172A"/>
    <w:rsid w:val="00A2267A"/>
    <w:rsid w:val="00A24300"/>
    <w:rsid w:val="00A276F9"/>
    <w:rsid w:val="00A4563A"/>
    <w:rsid w:val="00A51999"/>
    <w:rsid w:val="00A56E28"/>
    <w:rsid w:val="00A604A0"/>
    <w:rsid w:val="00A66090"/>
    <w:rsid w:val="00A70BC9"/>
    <w:rsid w:val="00A73C94"/>
    <w:rsid w:val="00A775CE"/>
    <w:rsid w:val="00A86914"/>
    <w:rsid w:val="00A86A34"/>
    <w:rsid w:val="00A93D81"/>
    <w:rsid w:val="00AA42E9"/>
    <w:rsid w:val="00AA4B2C"/>
    <w:rsid w:val="00AC2273"/>
    <w:rsid w:val="00AE2360"/>
    <w:rsid w:val="00AF407B"/>
    <w:rsid w:val="00AF7A9B"/>
    <w:rsid w:val="00B10998"/>
    <w:rsid w:val="00B122B2"/>
    <w:rsid w:val="00B15A2D"/>
    <w:rsid w:val="00B20AE4"/>
    <w:rsid w:val="00B20AFD"/>
    <w:rsid w:val="00B25842"/>
    <w:rsid w:val="00B34782"/>
    <w:rsid w:val="00B4715E"/>
    <w:rsid w:val="00B50D5A"/>
    <w:rsid w:val="00B612E6"/>
    <w:rsid w:val="00B62868"/>
    <w:rsid w:val="00B66058"/>
    <w:rsid w:val="00B72F63"/>
    <w:rsid w:val="00B73806"/>
    <w:rsid w:val="00B7465C"/>
    <w:rsid w:val="00B75915"/>
    <w:rsid w:val="00B93B68"/>
    <w:rsid w:val="00BA0EAB"/>
    <w:rsid w:val="00BA256E"/>
    <w:rsid w:val="00BA4314"/>
    <w:rsid w:val="00BB41F4"/>
    <w:rsid w:val="00BC7910"/>
    <w:rsid w:val="00BD4A3A"/>
    <w:rsid w:val="00BD4A6A"/>
    <w:rsid w:val="00BD5385"/>
    <w:rsid w:val="00BD74FB"/>
    <w:rsid w:val="00BE5CA8"/>
    <w:rsid w:val="00BF357B"/>
    <w:rsid w:val="00C01611"/>
    <w:rsid w:val="00C07D9E"/>
    <w:rsid w:val="00C26065"/>
    <w:rsid w:val="00C27A68"/>
    <w:rsid w:val="00C33615"/>
    <w:rsid w:val="00C41A92"/>
    <w:rsid w:val="00C50D66"/>
    <w:rsid w:val="00C6268E"/>
    <w:rsid w:val="00C640E4"/>
    <w:rsid w:val="00C71F8D"/>
    <w:rsid w:val="00C74371"/>
    <w:rsid w:val="00C74B49"/>
    <w:rsid w:val="00C75BCB"/>
    <w:rsid w:val="00C82512"/>
    <w:rsid w:val="00C8263C"/>
    <w:rsid w:val="00C82CC0"/>
    <w:rsid w:val="00C83753"/>
    <w:rsid w:val="00C97593"/>
    <w:rsid w:val="00CA4C6D"/>
    <w:rsid w:val="00CD6368"/>
    <w:rsid w:val="00CE3968"/>
    <w:rsid w:val="00CE4344"/>
    <w:rsid w:val="00CE4816"/>
    <w:rsid w:val="00CE5F63"/>
    <w:rsid w:val="00CE64D1"/>
    <w:rsid w:val="00CF4221"/>
    <w:rsid w:val="00D0037C"/>
    <w:rsid w:val="00D05428"/>
    <w:rsid w:val="00D117A0"/>
    <w:rsid w:val="00D13138"/>
    <w:rsid w:val="00D533E3"/>
    <w:rsid w:val="00D53D28"/>
    <w:rsid w:val="00D54554"/>
    <w:rsid w:val="00D5585F"/>
    <w:rsid w:val="00D60F41"/>
    <w:rsid w:val="00D77643"/>
    <w:rsid w:val="00D914FA"/>
    <w:rsid w:val="00D9588C"/>
    <w:rsid w:val="00DB282F"/>
    <w:rsid w:val="00DB702F"/>
    <w:rsid w:val="00DC1227"/>
    <w:rsid w:val="00DD253A"/>
    <w:rsid w:val="00DF2D64"/>
    <w:rsid w:val="00E2150F"/>
    <w:rsid w:val="00E3439B"/>
    <w:rsid w:val="00E4764F"/>
    <w:rsid w:val="00E5189F"/>
    <w:rsid w:val="00E53471"/>
    <w:rsid w:val="00E571E0"/>
    <w:rsid w:val="00E625C9"/>
    <w:rsid w:val="00E678E4"/>
    <w:rsid w:val="00E71A5B"/>
    <w:rsid w:val="00E728EE"/>
    <w:rsid w:val="00E807F8"/>
    <w:rsid w:val="00E81132"/>
    <w:rsid w:val="00E8633A"/>
    <w:rsid w:val="00E878B0"/>
    <w:rsid w:val="00E92984"/>
    <w:rsid w:val="00E94968"/>
    <w:rsid w:val="00E94975"/>
    <w:rsid w:val="00E97112"/>
    <w:rsid w:val="00E974D9"/>
    <w:rsid w:val="00EA0F28"/>
    <w:rsid w:val="00EA294F"/>
    <w:rsid w:val="00EA52B0"/>
    <w:rsid w:val="00EA66EB"/>
    <w:rsid w:val="00EB5CC0"/>
    <w:rsid w:val="00EC35F6"/>
    <w:rsid w:val="00EC4C96"/>
    <w:rsid w:val="00ED4A0B"/>
    <w:rsid w:val="00ED7BD2"/>
    <w:rsid w:val="00EF290F"/>
    <w:rsid w:val="00F06CA2"/>
    <w:rsid w:val="00F14C5C"/>
    <w:rsid w:val="00F213C3"/>
    <w:rsid w:val="00F227C6"/>
    <w:rsid w:val="00F35092"/>
    <w:rsid w:val="00F37D2E"/>
    <w:rsid w:val="00F4526D"/>
    <w:rsid w:val="00F47989"/>
    <w:rsid w:val="00F51231"/>
    <w:rsid w:val="00F560CD"/>
    <w:rsid w:val="00F63EF4"/>
    <w:rsid w:val="00F72F41"/>
    <w:rsid w:val="00F7579B"/>
    <w:rsid w:val="00F81D6B"/>
    <w:rsid w:val="00F82AB7"/>
    <w:rsid w:val="00F96D96"/>
    <w:rsid w:val="00FB5211"/>
    <w:rsid w:val="00FC0236"/>
    <w:rsid w:val="00FC2D71"/>
    <w:rsid w:val="00F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A29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3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304"/>
    <w:rPr>
      <w:rFonts w:ascii="Arial" w:hAnsi="Arial" w:cs="HelveticaNeueLT Std Cn"/>
      <w:color w:val="00353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304"/>
    <w:rPr>
      <w:rFonts w:ascii="Arial" w:hAnsi="Arial" w:cs="HelveticaNeueLT Std Cn"/>
      <w:b/>
      <w:bCs/>
      <w:color w:val="00353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schools.com/xml/schema_intro.asp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3schools.com/xml/default.asp" TargetMode="External"/><Relationship Id="rId17" Type="http://schemas.openxmlformats.org/officeDocument/2006/relationships/hyperlink" Target="mailto:abc@xy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berta.ca/system/files/custom_downloaded_images/ep-epea-approval-industrial-monitoring-documentation-submission-naming-guideline.pdf" TargetMode="External"/><Relationship Id="rId20" Type="http://schemas.openxmlformats.org/officeDocument/2006/relationships/hyperlink" Target="https://www.w3schools.com/xml/schema_intro.as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hyperlink" Target="https://www.w3schools.com/xml/default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dedacd1-8ed8-4364-83a4-3ca25ad2d993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548F95-5C3D-4764-975F-A6A5FF5D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483D3-1490-4773-AD80-C45FD22B895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AMD10-S-30Report</vt:lpstr>
    </vt:vector>
  </TitlesOfParts>
  <Company>GOA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AMD10-S-30Report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2023-01-19T18:06:00Z</dcterms:created>
  <dcterms:modified xsi:type="dcterms:W3CDTF">2025-11-13T16:05:00Z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2023-01-19T18:15:45Z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f95a439a-fc6d-41a5-8c7c-617c25cf4d39</vt:lpwstr>
  </property>
  <property fmtid="{D5CDD505-2E9C-101B-9397-08002B2CF9AE}" pid="9" name="MSIP_Label_60c3ebf9-3c2f-4745-a75f-55836bdb736f_ContentBits">
    <vt:lpwstr>2</vt:lpwstr>
  </property>
</Properties>
</file>